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sz w:val="24"/>
        </w:rPr>
      </w:pPr>
      <w:bookmarkStart w:id="0" w:name="_GoBack"/>
      <w:bookmarkEnd w:id="0"/>
      <w:r>
        <w:rPr>
          <w:rFonts w:hint="eastAsia" w:ascii="宋体" w:hAnsi="宋体" w:cs="楷体_GB2312"/>
          <w:b/>
          <w:bCs/>
          <w:sz w:val="30"/>
          <w:szCs w:val="30"/>
        </w:rPr>
        <w:t>《跨境电子商务与航空快递》教学大纲</w:t>
      </w:r>
    </w:p>
    <w:p>
      <w:pPr>
        <w:spacing w:line="400" w:lineRule="exact"/>
        <w:jc w:val="center"/>
        <w:rPr>
          <w:sz w:val="24"/>
        </w:rPr>
      </w:pPr>
      <w:r>
        <w:rPr>
          <w:rFonts w:hint="eastAsia"/>
          <w:sz w:val="24"/>
        </w:rPr>
        <w:t xml:space="preserve">　　　　                              </w:t>
      </w:r>
    </w:p>
    <w:tbl>
      <w:tblPr>
        <w:tblStyle w:val="12"/>
        <w:tblW w:w="9628" w:type="dxa"/>
        <w:jc w:val="center"/>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
        <w:gridCol w:w="675"/>
        <w:gridCol w:w="852"/>
        <w:gridCol w:w="68"/>
        <w:gridCol w:w="1558"/>
        <w:gridCol w:w="276"/>
        <w:gridCol w:w="434"/>
        <w:gridCol w:w="364"/>
        <w:gridCol w:w="345"/>
        <w:gridCol w:w="283"/>
        <w:gridCol w:w="713"/>
        <w:gridCol w:w="22"/>
        <w:gridCol w:w="68"/>
        <w:gridCol w:w="473"/>
        <w:gridCol w:w="803"/>
        <w:gridCol w:w="473"/>
        <w:gridCol w:w="6"/>
        <w:gridCol w:w="380"/>
        <w:gridCol w:w="625"/>
        <w:gridCol w:w="1069"/>
        <w:gridCol w:w="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442" w:hRule="atLeast"/>
          <w:jc w:val="center"/>
        </w:trPr>
        <w:tc>
          <w:tcPr>
            <w:tcW w:w="1595" w:type="dxa"/>
            <w:gridSpan w:val="3"/>
            <w:vAlign w:val="center"/>
          </w:tcPr>
          <w:p>
            <w:pPr>
              <w:spacing w:line="400" w:lineRule="exact"/>
              <w:rPr>
                <w:szCs w:val="21"/>
              </w:rPr>
            </w:pPr>
            <w:r>
              <w:rPr>
                <w:rFonts w:hint="eastAsia"/>
                <w:szCs w:val="21"/>
              </w:rPr>
              <w:t>课程英文名称</w:t>
            </w:r>
          </w:p>
        </w:tc>
        <w:tc>
          <w:tcPr>
            <w:tcW w:w="7960" w:type="dxa"/>
            <w:gridSpan w:val="17"/>
            <w:vAlign w:val="center"/>
          </w:tcPr>
          <w:p>
            <w:pPr>
              <w:spacing w:line="400" w:lineRule="exact"/>
              <w:rPr>
                <w:szCs w:val="21"/>
              </w:rPr>
            </w:pPr>
            <w:r>
              <w:rPr>
                <w:rFonts w:hint="eastAsia"/>
                <w:szCs w:val="21"/>
              </w:rPr>
              <w:t xml:space="preserve"> The Cross-</w:t>
            </w:r>
            <w:r>
              <w:rPr>
                <w:szCs w:val="21"/>
              </w:rPr>
              <w:t>border</w:t>
            </w:r>
            <w:r>
              <w:rPr>
                <w:rFonts w:hint="eastAsia"/>
                <w:szCs w:val="21"/>
              </w:rPr>
              <w:t xml:space="preserve"> E-Commerce and Air Express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442" w:hRule="atLeast"/>
          <w:jc w:val="center"/>
        </w:trPr>
        <w:tc>
          <w:tcPr>
            <w:tcW w:w="1595" w:type="dxa"/>
            <w:gridSpan w:val="3"/>
            <w:vAlign w:val="center"/>
          </w:tcPr>
          <w:p>
            <w:pPr>
              <w:spacing w:line="400" w:lineRule="exact"/>
              <w:rPr>
                <w:szCs w:val="21"/>
              </w:rPr>
            </w:pPr>
            <w:r>
              <w:rPr>
                <w:rFonts w:hint="eastAsia"/>
                <w:szCs w:val="21"/>
              </w:rPr>
              <w:t>开课院系</w:t>
            </w:r>
          </w:p>
        </w:tc>
        <w:tc>
          <w:tcPr>
            <w:tcW w:w="7960" w:type="dxa"/>
            <w:gridSpan w:val="17"/>
            <w:vAlign w:val="center"/>
          </w:tcPr>
          <w:p>
            <w:pPr>
              <w:spacing w:line="400" w:lineRule="exact"/>
              <w:rPr>
                <w:szCs w:val="21"/>
              </w:rPr>
            </w:pPr>
            <w:r>
              <w:rPr>
                <w:rFonts w:hint="eastAsia"/>
                <w:szCs w:val="21"/>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442" w:hRule="atLeast"/>
          <w:jc w:val="center"/>
        </w:trPr>
        <w:tc>
          <w:tcPr>
            <w:tcW w:w="1595" w:type="dxa"/>
            <w:gridSpan w:val="3"/>
            <w:vAlign w:val="center"/>
          </w:tcPr>
          <w:p>
            <w:pPr>
              <w:spacing w:line="400" w:lineRule="exact"/>
              <w:rPr>
                <w:szCs w:val="21"/>
              </w:rPr>
            </w:pPr>
            <w:r>
              <w:rPr>
                <w:rFonts w:hint="eastAsia"/>
                <w:szCs w:val="21"/>
              </w:rPr>
              <w:t>课程类别</w:t>
            </w:r>
          </w:p>
        </w:tc>
        <w:tc>
          <w:tcPr>
            <w:tcW w:w="3973" w:type="dxa"/>
            <w:gridSpan w:val="7"/>
            <w:vAlign w:val="center"/>
          </w:tcPr>
          <w:p>
            <w:pPr>
              <w:spacing w:line="400" w:lineRule="exact"/>
              <w:rPr>
                <w:szCs w:val="21"/>
              </w:rPr>
            </w:pPr>
            <w:r>
              <w:rPr>
                <w:rFonts w:hint="eastAsia"/>
                <w:szCs w:val="21"/>
              </w:rPr>
              <w:t>专业技术课</w:t>
            </w:r>
          </w:p>
        </w:tc>
        <w:tc>
          <w:tcPr>
            <w:tcW w:w="1366" w:type="dxa"/>
            <w:gridSpan w:val="4"/>
            <w:vAlign w:val="center"/>
          </w:tcPr>
          <w:p>
            <w:pPr>
              <w:spacing w:line="400" w:lineRule="exact"/>
              <w:rPr>
                <w:szCs w:val="21"/>
              </w:rPr>
            </w:pPr>
            <w:r>
              <w:rPr>
                <w:rFonts w:hint="eastAsia"/>
                <w:szCs w:val="21"/>
              </w:rPr>
              <w:t>授课对象</w:t>
            </w:r>
          </w:p>
        </w:tc>
        <w:tc>
          <w:tcPr>
            <w:tcW w:w="2621" w:type="dxa"/>
            <w:gridSpan w:val="6"/>
            <w:vAlign w:val="center"/>
          </w:tcPr>
          <w:p>
            <w:pPr>
              <w:spacing w:line="400" w:lineRule="exact"/>
              <w:rPr>
                <w:szCs w:val="21"/>
              </w:rPr>
            </w:pPr>
            <w:r>
              <w:rPr>
                <w:rFonts w:hint="eastAsia"/>
                <w:szCs w:val="21"/>
              </w:rPr>
              <w:t>2.专业学位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442" w:hRule="atLeast"/>
          <w:jc w:val="center"/>
        </w:trPr>
        <w:tc>
          <w:tcPr>
            <w:tcW w:w="1595" w:type="dxa"/>
            <w:gridSpan w:val="3"/>
            <w:vAlign w:val="center"/>
          </w:tcPr>
          <w:p>
            <w:pPr>
              <w:spacing w:line="400" w:lineRule="exact"/>
              <w:rPr>
                <w:szCs w:val="21"/>
              </w:rPr>
            </w:pPr>
            <w:r>
              <w:rPr>
                <w:rFonts w:hint="eastAsia"/>
                <w:szCs w:val="21"/>
              </w:rPr>
              <w:t>授课方式</w:t>
            </w:r>
          </w:p>
        </w:tc>
        <w:tc>
          <w:tcPr>
            <w:tcW w:w="7960" w:type="dxa"/>
            <w:gridSpan w:val="17"/>
            <w:vAlign w:val="center"/>
          </w:tcPr>
          <w:p>
            <w:pPr>
              <w:spacing w:line="400" w:lineRule="exact"/>
              <w:rPr>
                <w:szCs w:val="21"/>
              </w:rPr>
            </w:pPr>
            <w:r>
              <w:rPr>
                <w:szCs w:val="21"/>
              </w:rPr>
              <w:t>1.</w:t>
            </w:r>
            <w:r>
              <w:rPr>
                <w:rFonts w:hint="eastAsia"/>
                <w:szCs w:val="21"/>
              </w:rPr>
              <w:t>讲授类</w:t>
            </w:r>
            <w:r>
              <w:rPr>
                <w:szCs w:val="21"/>
              </w:rPr>
              <w:t>2.</w:t>
            </w:r>
            <w:r>
              <w:rPr>
                <w:rFonts w:hint="eastAsia"/>
                <w:szCs w:val="21"/>
              </w:rPr>
              <w:t>研讨类</w:t>
            </w:r>
            <w:r>
              <w:rPr>
                <w:szCs w:val="21"/>
              </w:rPr>
              <w:t>3.</w:t>
            </w:r>
            <w:r>
              <w:rPr>
                <w:rFonts w:hint="eastAsia"/>
                <w:szCs w:val="21"/>
              </w:rPr>
              <w:t>实践类</w:t>
            </w:r>
            <w:r>
              <w:rPr>
                <w:szCs w:val="21"/>
              </w:rPr>
              <w:t>6.</w:t>
            </w:r>
            <w:r>
              <w:rPr>
                <w:rFonts w:hint="eastAsia"/>
                <w:szCs w:val="21"/>
              </w:rPr>
              <w:t>前沿类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442" w:hRule="atLeast"/>
          <w:jc w:val="center"/>
        </w:trPr>
        <w:tc>
          <w:tcPr>
            <w:tcW w:w="1595" w:type="dxa"/>
            <w:gridSpan w:val="3"/>
            <w:vAlign w:val="center"/>
          </w:tcPr>
          <w:p>
            <w:pPr>
              <w:spacing w:line="400" w:lineRule="exact"/>
              <w:rPr>
                <w:rFonts w:ascii="宋体" w:hAnsi="宋体"/>
                <w:szCs w:val="21"/>
              </w:rPr>
            </w:pPr>
            <w:r>
              <w:rPr>
                <w:rFonts w:hint="eastAsia"/>
                <w:szCs w:val="21"/>
              </w:rPr>
              <w:t>课程总学时</w:t>
            </w:r>
          </w:p>
        </w:tc>
        <w:tc>
          <w:tcPr>
            <w:tcW w:w="1558" w:type="dxa"/>
            <w:vAlign w:val="center"/>
          </w:tcPr>
          <w:p>
            <w:pPr>
              <w:spacing w:line="400" w:lineRule="exact"/>
              <w:rPr>
                <w:rFonts w:ascii="宋体" w:hAnsi="宋体"/>
                <w:szCs w:val="21"/>
              </w:rPr>
            </w:pPr>
            <w:r>
              <w:rPr>
                <w:rFonts w:hint="eastAsia" w:ascii="宋体" w:hAnsi="宋体"/>
                <w:szCs w:val="21"/>
              </w:rPr>
              <w:t>28</w:t>
            </w:r>
          </w:p>
        </w:tc>
        <w:tc>
          <w:tcPr>
            <w:tcW w:w="1419" w:type="dxa"/>
            <w:gridSpan w:val="4"/>
            <w:vAlign w:val="center"/>
          </w:tcPr>
          <w:p>
            <w:pPr>
              <w:spacing w:line="400" w:lineRule="exact"/>
              <w:rPr>
                <w:rFonts w:ascii="宋体" w:hAnsi="宋体"/>
                <w:szCs w:val="21"/>
              </w:rPr>
            </w:pPr>
            <w:r>
              <w:rPr>
                <w:rFonts w:hint="eastAsia"/>
                <w:szCs w:val="21"/>
              </w:rPr>
              <w:t>课程总学分</w:t>
            </w:r>
          </w:p>
        </w:tc>
        <w:tc>
          <w:tcPr>
            <w:tcW w:w="1559" w:type="dxa"/>
            <w:gridSpan w:val="5"/>
            <w:vAlign w:val="center"/>
          </w:tcPr>
          <w:p>
            <w:pPr>
              <w:spacing w:line="400" w:lineRule="exact"/>
              <w:rPr>
                <w:szCs w:val="21"/>
              </w:rPr>
            </w:pPr>
            <w:r>
              <w:rPr>
                <w:rFonts w:hint="eastAsia"/>
                <w:szCs w:val="21"/>
              </w:rPr>
              <w:t>1.5</w:t>
            </w:r>
          </w:p>
        </w:tc>
        <w:tc>
          <w:tcPr>
            <w:tcW w:w="1276" w:type="dxa"/>
            <w:gridSpan w:val="2"/>
            <w:vAlign w:val="center"/>
          </w:tcPr>
          <w:p>
            <w:pPr>
              <w:spacing w:line="400" w:lineRule="exact"/>
              <w:rPr>
                <w:szCs w:val="21"/>
              </w:rPr>
            </w:pPr>
            <w:r>
              <w:rPr>
                <w:rFonts w:hint="eastAsia"/>
                <w:szCs w:val="21"/>
              </w:rPr>
              <w:t>开课学期</w:t>
            </w:r>
          </w:p>
        </w:tc>
        <w:tc>
          <w:tcPr>
            <w:tcW w:w="2148" w:type="dxa"/>
            <w:gridSpan w:val="5"/>
            <w:vAlign w:val="center"/>
          </w:tcPr>
          <w:p>
            <w:pPr>
              <w:spacing w:line="400" w:lineRule="exact"/>
              <w:rPr>
                <w:szCs w:val="21"/>
              </w:rPr>
            </w:pPr>
            <w:r>
              <w:rPr>
                <w:rFonts w:hint="eastAsia"/>
                <w:szCs w:val="21"/>
              </w:rPr>
              <w:t>第2学期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442" w:hRule="atLeast"/>
          <w:jc w:val="center"/>
        </w:trPr>
        <w:tc>
          <w:tcPr>
            <w:tcW w:w="1595" w:type="dxa"/>
            <w:gridSpan w:val="3"/>
            <w:vAlign w:val="center"/>
          </w:tcPr>
          <w:p>
            <w:pPr>
              <w:spacing w:line="400" w:lineRule="exact"/>
              <w:rPr>
                <w:szCs w:val="21"/>
              </w:rPr>
            </w:pPr>
            <w:r>
              <w:rPr>
                <w:rFonts w:hint="eastAsia"/>
                <w:szCs w:val="21"/>
              </w:rPr>
              <w:t>适用专业</w:t>
            </w:r>
          </w:p>
        </w:tc>
        <w:tc>
          <w:tcPr>
            <w:tcW w:w="7960" w:type="dxa"/>
            <w:gridSpan w:val="17"/>
            <w:vAlign w:val="center"/>
          </w:tcPr>
          <w:p>
            <w:pPr>
              <w:spacing w:line="400" w:lineRule="exact"/>
              <w:rPr>
                <w:szCs w:val="21"/>
              </w:rPr>
            </w:pPr>
            <w:r>
              <w:rPr>
                <w:rFonts w:hint="eastAsia"/>
                <w:szCs w:val="21"/>
              </w:rPr>
              <w:t>物流工程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442" w:hRule="atLeast"/>
          <w:jc w:val="center"/>
        </w:trPr>
        <w:tc>
          <w:tcPr>
            <w:tcW w:w="1595" w:type="dxa"/>
            <w:gridSpan w:val="3"/>
            <w:vAlign w:val="center"/>
          </w:tcPr>
          <w:p>
            <w:pPr>
              <w:spacing w:line="400" w:lineRule="exact"/>
              <w:rPr>
                <w:szCs w:val="21"/>
              </w:rPr>
            </w:pPr>
            <w:r>
              <w:rPr>
                <w:rFonts w:hint="eastAsia"/>
                <w:szCs w:val="21"/>
              </w:rPr>
              <w:t>预修课程</w:t>
            </w:r>
          </w:p>
        </w:tc>
        <w:tc>
          <w:tcPr>
            <w:tcW w:w="7960" w:type="dxa"/>
            <w:gridSpan w:val="17"/>
            <w:vAlign w:val="center"/>
          </w:tcPr>
          <w:p>
            <w:pPr>
              <w:spacing w:line="400" w:lineRule="exact"/>
              <w:rPr>
                <w:szCs w:val="21"/>
              </w:rPr>
            </w:pPr>
            <w:r>
              <w:rPr>
                <w:rFonts w:hint="eastAsia" w:ascii="宋体" w:hAnsi="宋体"/>
                <w:szCs w:val="21"/>
              </w:rPr>
              <w:t>《民航货物运输》、《航空运输概论》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442" w:hRule="atLeast"/>
          <w:jc w:val="center"/>
        </w:trPr>
        <w:tc>
          <w:tcPr>
            <w:tcW w:w="1595" w:type="dxa"/>
            <w:gridSpan w:val="3"/>
            <w:vAlign w:val="center"/>
          </w:tcPr>
          <w:p>
            <w:pPr>
              <w:spacing w:line="400" w:lineRule="exact"/>
              <w:rPr>
                <w:rFonts w:ascii="宋体" w:hAnsi="宋体"/>
                <w:szCs w:val="21"/>
              </w:rPr>
            </w:pPr>
            <w:r>
              <w:rPr>
                <w:rFonts w:hint="eastAsia" w:ascii="宋体" w:hAnsi="宋体"/>
                <w:szCs w:val="21"/>
              </w:rPr>
              <w:t>主讲教师1</w:t>
            </w:r>
          </w:p>
        </w:tc>
        <w:tc>
          <w:tcPr>
            <w:tcW w:w="1558" w:type="dxa"/>
            <w:vAlign w:val="center"/>
          </w:tcPr>
          <w:p>
            <w:pPr>
              <w:spacing w:line="400" w:lineRule="exact"/>
              <w:rPr>
                <w:rFonts w:ascii="宋体" w:hAnsi="宋体"/>
                <w:szCs w:val="21"/>
              </w:rPr>
            </w:pPr>
            <w:r>
              <w:rPr>
                <w:rFonts w:hint="eastAsia" w:ascii="宋体" w:hAnsi="宋体"/>
                <w:szCs w:val="21"/>
              </w:rPr>
              <w:t>赵冰</w:t>
            </w:r>
          </w:p>
        </w:tc>
        <w:tc>
          <w:tcPr>
            <w:tcW w:w="710" w:type="dxa"/>
            <w:gridSpan w:val="2"/>
            <w:vAlign w:val="center"/>
          </w:tcPr>
          <w:p>
            <w:pPr>
              <w:spacing w:line="400" w:lineRule="exact"/>
              <w:rPr>
                <w:rFonts w:ascii="宋体" w:hAnsi="宋体"/>
                <w:szCs w:val="21"/>
              </w:rPr>
            </w:pPr>
            <w:r>
              <w:rPr>
                <w:rFonts w:hint="eastAsia" w:ascii="宋体" w:hAnsi="宋体"/>
                <w:szCs w:val="21"/>
              </w:rPr>
              <w:t>职称</w:t>
            </w:r>
          </w:p>
        </w:tc>
        <w:tc>
          <w:tcPr>
            <w:tcW w:w="992" w:type="dxa"/>
            <w:gridSpan w:val="3"/>
            <w:vAlign w:val="center"/>
          </w:tcPr>
          <w:p>
            <w:pPr>
              <w:spacing w:line="400" w:lineRule="exact"/>
              <w:rPr>
                <w:szCs w:val="21"/>
              </w:rPr>
            </w:pPr>
            <w:r>
              <w:rPr>
                <w:rFonts w:hint="eastAsia"/>
                <w:szCs w:val="21"/>
              </w:rPr>
              <w:t>讲师</w:t>
            </w:r>
          </w:p>
        </w:tc>
        <w:tc>
          <w:tcPr>
            <w:tcW w:w="1276" w:type="dxa"/>
            <w:gridSpan w:val="4"/>
            <w:vAlign w:val="center"/>
          </w:tcPr>
          <w:p>
            <w:pPr>
              <w:spacing w:line="400" w:lineRule="exact"/>
              <w:rPr>
                <w:szCs w:val="21"/>
              </w:rPr>
            </w:pPr>
            <w:r>
              <w:rPr>
                <w:rFonts w:hint="eastAsia" w:ascii="宋体" w:hAnsi="宋体"/>
                <w:szCs w:val="21"/>
              </w:rPr>
              <w:t>主讲教师</w:t>
            </w:r>
            <w:r>
              <w:rPr>
                <w:rFonts w:ascii="宋体" w:hAnsi="宋体"/>
                <w:szCs w:val="21"/>
              </w:rPr>
              <w:t>2</w:t>
            </w:r>
          </w:p>
        </w:tc>
        <w:tc>
          <w:tcPr>
            <w:tcW w:w="1282" w:type="dxa"/>
            <w:gridSpan w:val="3"/>
            <w:vAlign w:val="center"/>
          </w:tcPr>
          <w:p>
            <w:pPr>
              <w:spacing w:line="400" w:lineRule="exact"/>
              <w:rPr>
                <w:szCs w:val="21"/>
              </w:rPr>
            </w:pPr>
            <w:r>
              <w:rPr>
                <w:rFonts w:hint="eastAsia"/>
                <w:szCs w:val="21"/>
              </w:rPr>
              <w:t>白杨敏</w:t>
            </w:r>
          </w:p>
        </w:tc>
        <w:tc>
          <w:tcPr>
            <w:tcW w:w="1005" w:type="dxa"/>
            <w:gridSpan w:val="2"/>
            <w:vAlign w:val="center"/>
          </w:tcPr>
          <w:p>
            <w:pPr>
              <w:spacing w:line="400" w:lineRule="exact"/>
              <w:rPr>
                <w:szCs w:val="21"/>
              </w:rPr>
            </w:pPr>
            <w:r>
              <w:rPr>
                <w:rFonts w:hint="eastAsia" w:ascii="宋体" w:hAnsi="宋体"/>
                <w:szCs w:val="21"/>
              </w:rPr>
              <w:t>职称</w:t>
            </w:r>
          </w:p>
        </w:tc>
        <w:tc>
          <w:tcPr>
            <w:tcW w:w="1137" w:type="dxa"/>
            <w:gridSpan w:val="2"/>
            <w:vAlign w:val="center"/>
          </w:tcPr>
          <w:p>
            <w:pPr>
              <w:spacing w:line="400" w:lineRule="exact"/>
              <w:rPr>
                <w:szCs w:val="21"/>
              </w:rPr>
            </w:pPr>
            <w:r>
              <w:rPr>
                <w:rFonts w:hint="eastAsia"/>
                <w:szCs w:val="21"/>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1260" w:hRule="atLeast"/>
          <w:jc w:val="center"/>
        </w:trPr>
        <w:tc>
          <w:tcPr>
            <w:tcW w:w="9555" w:type="dxa"/>
            <w:gridSpan w:val="20"/>
          </w:tcPr>
          <w:p>
            <w:pPr>
              <w:spacing w:line="400" w:lineRule="exact"/>
              <w:rPr>
                <w:b/>
                <w:szCs w:val="21"/>
              </w:rPr>
            </w:pPr>
            <w:r>
              <w:rPr>
                <w:rFonts w:hint="eastAsia"/>
                <w:b/>
                <w:szCs w:val="21"/>
              </w:rPr>
              <w:t>课程简介</w:t>
            </w:r>
            <w:r>
              <w:rPr>
                <w:b/>
                <w:szCs w:val="21"/>
              </w:rPr>
              <w:t>（</w:t>
            </w:r>
            <w:r>
              <w:rPr>
                <w:rFonts w:hint="eastAsia"/>
                <w:b/>
                <w:szCs w:val="21"/>
              </w:rPr>
              <w:t>500字</w:t>
            </w:r>
            <w:r>
              <w:rPr>
                <w:b/>
                <w:szCs w:val="21"/>
              </w:rPr>
              <w:t>以内）</w:t>
            </w:r>
            <w:r>
              <w:rPr>
                <w:rFonts w:hint="eastAsia"/>
                <w:b/>
                <w:szCs w:val="21"/>
              </w:rPr>
              <w:t>：</w:t>
            </w:r>
          </w:p>
          <w:p>
            <w:pPr>
              <w:spacing w:line="400" w:lineRule="exact"/>
              <w:rPr>
                <w:rFonts w:ascii="宋体" w:hAnsi="宋体"/>
                <w:szCs w:val="21"/>
              </w:rPr>
            </w:pPr>
            <w:r>
              <w:rPr>
                <w:rFonts w:hint="eastAsia" w:ascii="宋体" w:hAnsi="宋体"/>
                <w:szCs w:val="21"/>
              </w:rPr>
              <w:t>本课程是物流工程专业的专业选修课。课程以跨境电子商务和航空快递的基本理论知识为基础，包含四大知识模块：</w:t>
            </w:r>
            <w:r>
              <w:rPr>
                <w:rFonts w:hint="eastAsia" w:ascii="宋体" w:hAnsi="宋体"/>
                <w:b/>
                <w:szCs w:val="21"/>
              </w:rPr>
              <w:t>跨境电子商务模块</w:t>
            </w:r>
            <w:r>
              <w:rPr>
                <w:rFonts w:hint="eastAsia" w:ascii="宋体" w:hAnsi="宋体"/>
                <w:szCs w:val="21"/>
              </w:rPr>
              <w:t>（包含跨境电子商务的内涵特点、发展历程、发展现状、政策演进及发展展望等知识点）、</w:t>
            </w:r>
            <w:r>
              <w:rPr>
                <w:rFonts w:hint="eastAsia" w:ascii="宋体" w:hAnsi="宋体"/>
                <w:b/>
                <w:szCs w:val="21"/>
              </w:rPr>
              <w:t>航空快递模块</w:t>
            </w:r>
            <w:r>
              <w:rPr>
                <w:rFonts w:hint="eastAsia" w:ascii="宋体" w:hAnsi="宋体"/>
                <w:szCs w:val="21"/>
              </w:rPr>
              <w:t>（包含航空快递的特征、分类及发展历程、航空快递的业务流程等知识点）、</w:t>
            </w:r>
            <w:r>
              <w:rPr>
                <w:rFonts w:hint="eastAsia" w:ascii="宋体" w:hAnsi="宋体"/>
                <w:b/>
                <w:szCs w:val="21"/>
              </w:rPr>
              <w:t>电子商务与快递关系模块</w:t>
            </w:r>
            <w:r>
              <w:rPr>
                <w:rFonts w:hint="eastAsia" w:ascii="宋体" w:hAnsi="宋体"/>
                <w:szCs w:val="21"/>
              </w:rPr>
              <w:t>（包含电子商务对快递的影响、快递对电子商务的影响、电子商务与快递的融合等知识点）以及</w:t>
            </w:r>
            <w:r>
              <w:rPr>
                <w:rFonts w:hint="eastAsia" w:ascii="宋体" w:hAnsi="宋体"/>
                <w:b/>
                <w:szCs w:val="21"/>
              </w:rPr>
              <w:t>航空快递企业发展战略模块</w:t>
            </w:r>
            <w:r>
              <w:rPr>
                <w:rFonts w:hint="eastAsia" w:ascii="宋体" w:hAnsi="宋体"/>
                <w:szCs w:val="21"/>
              </w:rPr>
              <w:t>（包含国内外典型航空快递企业发展历程、跨境电子商务背景下航空快递企业的发展战略制定等知识点），并设计项目式案例加深学生对理论知识的理解和掌握，使学生具备进行跨境电子商务物流模式选择、航空快递业务流程分析与优化、电子商务企业及快递企业跨界经营战略选择以及跨境电子商务发展背景下航空快递企业发展战略制定等方面的理论知识和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1125" w:hRule="atLeast"/>
          <w:jc w:val="center"/>
        </w:trPr>
        <w:tc>
          <w:tcPr>
            <w:tcW w:w="9555" w:type="dxa"/>
            <w:gridSpan w:val="20"/>
            <w:vAlign w:val="center"/>
          </w:tcPr>
          <w:p>
            <w:pPr>
              <w:spacing w:line="400" w:lineRule="exact"/>
              <w:rPr>
                <w:b/>
                <w:szCs w:val="21"/>
              </w:rPr>
            </w:pPr>
            <w:r>
              <w:rPr>
                <w:rFonts w:hint="eastAsia"/>
                <w:b/>
                <w:szCs w:val="21"/>
              </w:rPr>
              <w:t>课程教学目标与基本要求：</w:t>
            </w:r>
          </w:p>
          <w:p>
            <w:pPr>
              <w:spacing w:line="400" w:lineRule="exact"/>
              <w:rPr>
                <w:rFonts w:ascii="宋体" w:hAnsi="宋体"/>
                <w:b/>
                <w:szCs w:val="21"/>
              </w:rPr>
            </w:pPr>
            <w:r>
              <w:rPr>
                <w:rFonts w:hint="eastAsia" w:ascii="宋体" w:hAnsi="宋体"/>
                <w:b/>
                <w:szCs w:val="21"/>
              </w:rPr>
              <w:t>教学目标：</w:t>
            </w:r>
          </w:p>
          <w:p>
            <w:pPr>
              <w:spacing w:line="400" w:lineRule="exact"/>
              <w:rPr>
                <w:rFonts w:ascii="宋体" w:hAnsi="宋体"/>
                <w:szCs w:val="21"/>
              </w:rPr>
            </w:pPr>
            <w:r>
              <w:rPr>
                <w:rFonts w:hint="eastAsia" w:ascii="宋体" w:hAnsi="宋体"/>
                <w:szCs w:val="21"/>
              </w:rPr>
              <w:t>以跨境电子商务和航空快递的基本理论知识为基础，阐释跨境电子商务、航空快递、电子商务与快递关系以及航空快递企业发展战略制定等方面的理论知识，设计项目式案例加深学生对理论知识的理解和掌握，使学生具备进行跨境电子商务物流模式选择、航空快递业务流程分析与优化、电子商务企业及快递企业跨界经营战略选择以及跨境电子商务发展背景下航空快递企业发展战略制定等方面的相应理论知识和实践能力。</w:t>
            </w:r>
          </w:p>
          <w:p>
            <w:pPr>
              <w:spacing w:line="400" w:lineRule="exact"/>
              <w:rPr>
                <w:rFonts w:ascii="宋体" w:hAnsi="宋体"/>
                <w:b/>
                <w:szCs w:val="21"/>
              </w:rPr>
            </w:pPr>
            <w:r>
              <w:rPr>
                <w:rFonts w:hint="eastAsia" w:ascii="宋体" w:hAnsi="宋体"/>
                <w:b/>
                <w:szCs w:val="21"/>
              </w:rPr>
              <w:t>基本要求：</w:t>
            </w:r>
          </w:p>
          <w:p>
            <w:pPr>
              <w:spacing w:line="400" w:lineRule="exact"/>
              <w:rPr>
                <w:szCs w:val="21"/>
              </w:rPr>
            </w:pPr>
            <w:r>
              <w:rPr>
                <w:rFonts w:hint="eastAsia" w:ascii="宋体" w:hAnsi="宋体"/>
                <w:szCs w:val="21"/>
              </w:rPr>
              <w:t>要求学生了解国内外跨境电子商务、航空快递的发展历程、现状及趋势，熟悉国内外跨境电子商务平台、著名航空快递公司的基本情况，能够对电子商务企业、快递企业跨界经营提出策略建议，具备分析制定跨境电子商务发展环境下航空快递企业发展战略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1064" w:hRule="atLeast"/>
          <w:jc w:val="center"/>
        </w:trPr>
        <w:tc>
          <w:tcPr>
            <w:tcW w:w="9555" w:type="dxa"/>
            <w:gridSpan w:val="20"/>
            <w:vAlign w:val="center"/>
          </w:tcPr>
          <w:p>
            <w:pPr>
              <w:spacing w:line="400" w:lineRule="exact"/>
              <w:rPr>
                <w:b/>
                <w:szCs w:val="21"/>
              </w:rPr>
            </w:pPr>
            <w:r>
              <w:rPr>
                <w:rFonts w:hint="eastAsia" w:ascii="宋体" w:hAnsi="宋体"/>
                <w:b/>
                <w:szCs w:val="21"/>
              </w:rPr>
              <w:t>课程</w:t>
            </w:r>
            <w:r>
              <w:rPr>
                <w:rFonts w:ascii="宋体" w:hAnsi="宋体"/>
                <w:b/>
                <w:szCs w:val="21"/>
              </w:rPr>
              <w:t>考核方式</w:t>
            </w:r>
            <w:r>
              <w:rPr>
                <w:rFonts w:hint="eastAsia" w:ascii="宋体" w:hAnsi="宋体"/>
                <w:b/>
                <w:szCs w:val="21"/>
              </w:rPr>
              <w:t>和成绩计算评定</w:t>
            </w:r>
            <w:r>
              <w:rPr>
                <w:rFonts w:hint="eastAsia"/>
                <w:b/>
                <w:szCs w:val="21"/>
              </w:rPr>
              <w:t>：</w:t>
            </w:r>
          </w:p>
          <w:p>
            <w:pPr>
              <w:pStyle w:val="16"/>
              <w:spacing w:line="400" w:lineRule="exact"/>
              <w:ind w:firstLine="0" w:firstLineChars="0"/>
              <w:rPr>
                <w:rFonts w:ascii="宋体" w:hAnsi="宋体" w:cs="楷体_GB2312"/>
                <w:szCs w:val="21"/>
              </w:rPr>
            </w:pPr>
            <w:r>
              <w:rPr>
                <w:rFonts w:hint="eastAsia" w:ascii="宋体" w:hAnsi="宋体" w:cs="楷体_GB2312"/>
                <w:szCs w:val="21"/>
              </w:rPr>
              <w:t>1．考核方式：考试（）；考查（√）</w:t>
            </w:r>
          </w:p>
          <w:p>
            <w:pPr>
              <w:pStyle w:val="16"/>
              <w:spacing w:line="400" w:lineRule="exact"/>
              <w:ind w:firstLine="0" w:firstLineChars="0"/>
              <w:rPr>
                <w:rFonts w:ascii="宋体" w:hAnsi="宋体" w:cs="楷体_GB2312"/>
                <w:szCs w:val="21"/>
              </w:rPr>
            </w:pPr>
            <w:r>
              <w:rPr>
                <w:rFonts w:hint="eastAsia" w:ascii="宋体" w:hAnsi="宋体" w:cs="楷体_GB2312"/>
                <w:szCs w:val="21"/>
              </w:rPr>
              <w:t>2．成绩评定：</w:t>
            </w:r>
          </w:p>
          <w:p>
            <w:pPr>
              <w:pStyle w:val="15"/>
              <w:spacing w:line="400" w:lineRule="exact"/>
              <w:ind w:firstLine="315" w:firstLineChars="150"/>
              <w:rPr>
                <w:rFonts w:ascii="宋体" w:hAnsi="宋体" w:cs="楷体_GB2312"/>
                <w:szCs w:val="21"/>
              </w:rPr>
            </w:pPr>
            <w:r>
              <w:rPr>
                <w:rFonts w:hint="eastAsia" w:ascii="宋体" w:hAnsi="宋体" w:cs="楷体_GB2312"/>
                <w:szCs w:val="21"/>
              </w:rPr>
              <w:t>总评成绩构成：平时考核（40）％；中期考核（）％；期末考核（60）％</w:t>
            </w:r>
          </w:p>
          <w:p>
            <w:pPr>
              <w:pStyle w:val="15"/>
              <w:spacing w:line="400" w:lineRule="exact"/>
              <w:ind w:firstLine="315" w:firstLineChars="150"/>
              <w:rPr>
                <w:rFonts w:ascii="宋体" w:hAnsi="宋体" w:cs="楷体_GB2312"/>
                <w:szCs w:val="21"/>
              </w:rPr>
            </w:pPr>
            <w:r>
              <w:rPr>
                <w:rFonts w:hint="eastAsia" w:ascii="宋体" w:hAnsi="宋体" w:cs="楷体_GB2312"/>
                <w:szCs w:val="21"/>
              </w:rPr>
              <w:t>平时成绩构成：考勤考纪（30）％；作业（30）％；读书报告（）％</w:t>
            </w:r>
          </w:p>
          <w:p>
            <w:pPr>
              <w:spacing w:line="400" w:lineRule="exact"/>
              <w:ind w:firstLine="315" w:firstLineChars="150"/>
              <w:rPr>
                <w:rFonts w:ascii="宋体" w:hAnsi="宋体"/>
                <w:szCs w:val="21"/>
              </w:rPr>
            </w:pPr>
            <w:r>
              <w:rPr>
                <w:rFonts w:hint="eastAsia" w:ascii="宋体" w:hAnsi="宋体" w:cs="楷体_GB2312"/>
                <w:szCs w:val="21"/>
              </w:rPr>
              <w:t>实践环节（40）％；其他（）％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488" w:hRule="atLeast"/>
          <w:jc w:val="center"/>
        </w:trPr>
        <w:tc>
          <w:tcPr>
            <w:tcW w:w="9555" w:type="dxa"/>
            <w:gridSpan w:val="20"/>
            <w:vAlign w:val="center"/>
          </w:tcPr>
          <w:p>
            <w:pPr>
              <w:spacing w:line="400" w:lineRule="exact"/>
              <w:jc w:val="center"/>
              <w:rPr>
                <w:rFonts w:ascii="宋体" w:hAnsi="宋体"/>
                <w:b/>
                <w:szCs w:val="21"/>
              </w:rPr>
            </w:pPr>
            <w:r>
              <w:rPr>
                <w:rFonts w:ascii="宋体" w:hAnsi="宋体"/>
                <w:b/>
                <w:szCs w:val="21"/>
              </w:rPr>
              <w:t>课程内容</w:t>
            </w:r>
            <w:r>
              <w:rPr>
                <w:rFonts w:hint="eastAsia" w:ascii="宋体" w:hAnsi="宋体"/>
                <w:b/>
                <w:szCs w:val="21"/>
              </w:rPr>
              <w:t>及详细教学计划</w:t>
            </w:r>
            <w:r>
              <w:rPr>
                <w:rFonts w:hint="eastAsia"/>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916" w:hRule="atLeast"/>
          <w:jc w:val="center"/>
        </w:trPr>
        <w:tc>
          <w:tcPr>
            <w:tcW w:w="3429" w:type="dxa"/>
            <w:gridSpan w:val="5"/>
            <w:vAlign w:val="center"/>
          </w:tcPr>
          <w:p>
            <w:pPr>
              <w:spacing w:line="400" w:lineRule="exact"/>
              <w:rPr>
                <w:rFonts w:ascii="宋体" w:hAnsi="宋体"/>
                <w:szCs w:val="21"/>
              </w:rPr>
            </w:pPr>
            <w:r>
              <w:rPr>
                <w:rFonts w:hint="eastAsia"/>
                <w:szCs w:val="21"/>
              </w:rPr>
              <w:t>授课内容（细化到章、节、目）</w:t>
            </w:r>
          </w:p>
        </w:tc>
        <w:tc>
          <w:tcPr>
            <w:tcW w:w="2229" w:type="dxa"/>
            <w:gridSpan w:val="7"/>
            <w:vAlign w:val="center"/>
          </w:tcPr>
          <w:p>
            <w:pPr>
              <w:spacing w:line="400" w:lineRule="exact"/>
              <w:rPr>
                <w:rFonts w:ascii="宋体" w:hAnsi="宋体"/>
                <w:szCs w:val="21"/>
              </w:rPr>
            </w:pPr>
            <w:r>
              <w:rPr>
                <w:rFonts w:hint="eastAsia"/>
                <w:szCs w:val="21"/>
              </w:rPr>
              <w:t>教学目标</w:t>
            </w:r>
          </w:p>
        </w:tc>
        <w:tc>
          <w:tcPr>
            <w:tcW w:w="3897" w:type="dxa"/>
            <w:gridSpan w:val="8"/>
            <w:vAlign w:val="center"/>
          </w:tcPr>
          <w:p>
            <w:pPr>
              <w:spacing w:line="400" w:lineRule="exact"/>
              <w:rPr>
                <w:rFonts w:ascii="宋体" w:hAnsi="宋体"/>
                <w:szCs w:val="21"/>
              </w:rPr>
            </w:pPr>
            <w:r>
              <w:rPr>
                <w:rFonts w:hint="eastAsia"/>
                <w:szCs w:val="21"/>
              </w:rPr>
              <w:t>授课模式（指传统讲授、讨论、多媒体教学等）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300" w:hRule="atLeast"/>
          <w:jc w:val="center"/>
        </w:trPr>
        <w:tc>
          <w:tcPr>
            <w:tcW w:w="3429" w:type="dxa"/>
            <w:gridSpan w:val="5"/>
            <w:vAlign w:val="center"/>
          </w:tcPr>
          <w:p>
            <w:pPr>
              <w:numPr>
                <w:ilvl w:val="0"/>
                <w:numId w:val="1"/>
              </w:numPr>
              <w:spacing w:line="400" w:lineRule="exact"/>
              <w:ind w:left="0" w:firstLine="0"/>
              <w:rPr>
                <w:rFonts w:ascii="宋体" w:hAnsi="宋体"/>
                <w:szCs w:val="21"/>
              </w:rPr>
            </w:pPr>
            <w:r>
              <w:rPr>
                <w:rFonts w:hint="eastAsia" w:ascii="宋体" w:hAnsi="宋体"/>
                <w:szCs w:val="21"/>
              </w:rPr>
              <w:t>跨境电子商务模块（8课时）</w:t>
            </w:r>
          </w:p>
          <w:p>
            <w:pPr>
              <w:pStyle w:val="17"/>
              <w:numPr>
                <w:ilvl w:val="0"/>
                <w:numId w:val="2"/>
              </w:numPr>
              <w:spacing w:line="400" w:lineRule="exact"/>
              <w:ind w:firstLineChars="0"/>
              <w:rPr>
                <w:rFonts w:ascii="宋体" w:hAnsi="宋体"/>
                <w:szCs w:val="21"/>
              </w:rPr>
            </w:pPr>
            <w:r>
              <w:rPr>
                <w:rFonts w:hint="eastAsia" w:ascii="宋体" w:hAnsi="宋体"/>
                <w:szCs w:val="21"/>
              </w:rPr>
              <w:t>电子商务概述</w:t>
            </w:r>
          </w:p>
          <w:p>
            <w:pPr>
              <w:pStyle w:val="17"/>
              <w:numPr>
                <w:ilvl w:val="0"/>
                <w:numId w:val="3"/>
              </w:numPr>
              <w:spacing w:line="400" w:lineRule="exact"/>
              <w:ind w:firstLineChars="0"/>
              <w:rPr>
                <w:rFonts w:ascii="宋体" w:hAnsi="宋体"/>
                <w:szCs w:val="21"/>
              </w:rPr>
            </w:pPr>
            <w:r>
              <w:rPr>
                <w:rFonts w:hint="eastAsia" w:ascii="宋体" w:hAnsi="宋体"/>
                <w:szCs w:val="21"/>
              </w:rPr>
              <w:t>电子商务的基础概念</w:t>
            </w:r>
          </w:p>
          <w:p>
            <w:pPr>
              <w:pStyle w:val="17"/>
              <w:numPr>
                <w:ilvl w:val="0"/>
                <w:numId w:val="3"/>
              </w:numPr>
              <w:spacing w:line="400" w:lineRule="exact"/>
              <w:ind w:firstLineChars="0"/>
              <w:rPr>
                <w:rFonts w:ascii="宋体" w:hAnsi="宋体"/>
                <w:szCs w:val="21"/>
              </w:rPr>
            </w:pPr>
            <w:r>
              <w:rPr>
                <w:rFonts w:hint="eastAsia" w:ascii="宋体" w:hAnsi="宋体"/>
                <w:szCs w:val="21"/>
              </w:rPr>
              <w:t>电子商务的模型框架</w:t>
            </w:r>
          </w:p>
          <w:p>
            <w:pPr>
              <w:pStyle w:val="17"/>
              <w:numPr>
                <w:ilvl w:val="0"/>
                <w:numId w:val="3"/>
              </w:numPr>
              <w:spacing w:line="400" w:lineRule="exact"/>
              <w:ind w:firstLineChars="0"/>
              <w:rPr>
                <w:rFonts w:ascii="宋体" w:hAnsi="宋体"/>
                <w:szCs w:val="21"/>
              </w:rPr>
            </w:pPr>
            <w:r>
              <w:rPr>
                <w:rFonts w:hint="eastAsia" w:ascii="宋体" w:hAnsi="宋体"/>
                <w:szCs w:val="21"/>
              </w:rPr>
              <w:t>我国电子商务的发展现状及趋势</w:t>
            </w:r>
          </w:p>
          <w:p>
            <w:pPr>
              <w:pStyle w:val="17"/>
              <w:numPr>
                <w:ilvl w:val="0"/>
                <w:numId w:val="3"/>
              </w:numPr>
              <w:spacing w:line="400" w:lineRule="exact"/>
              <w:ind w:firstLineChars="0"/>
              <w:rPr>
                <w:rFonts w:ascii="宋体" w:hAnsi="宋体"/>
                <w:szCs w:val="21"/>
              </w:rPr>
            </w:pPr>
            <w:r>
              <w:rPr>
                <w:rFonts w:hint="eastAsia" w:ascii="宋体" w:hAnsi="宋体"/>
                <w:szCs w:val="21"/>
              </w:rPr>
              <w:t>电子商务与物流</w:t>
            </w:r>
          </w:p>
          <w:p>
            <w:pPr>
              <w:pStyle w:val="17"/>
              <w:numPr>
                <w:ilvl w:val="0"/>
                <w:numId w:val="3"/>
              </w:numPr>
              <w:spacing w:line="400" w:lineRule="exact"/>
              <w:ind w:firstLineChars="0"/>
              <w:rPr>
                <w:rFonts w:ascii="宋体" w:hAnsi="宋体"/>
                <w:szCs w:val="21"/>
              </w:rPr>
            </w:pPr>
            <w:r>
              <w:rPr>
                <w:rFonts w:hint="eastAsia" w:ascii="宋体" w:hAnsi="宋体"/>
                <w:szCs w:val="21"/>
              </w:rPr>
              <w:t>案例研讨</w:t>
            </w:r>
          </w:p>
          <w:p>
            <w:pPr>
              <w:pStyle w:val="17"/>
              <w:numPr>
                <w:ilvl w:val="0"/>
                <w:numId w:val="4"/>
              </w:numPr>
              <w:spacing w:line="400" w:lineRule="exact"/>
              <w:ind w:firstLineChars="0"/>
              <w:rPr>
                <w:rFonts w:ascii="宋体" w:hAnsi="宋体"/>
                <w:szCs w:val="21"/>
              </w:rPr>
            </w:pPr>
            <w:r>
              <w:rPr>
                <w:rFonts w:hint="eastAsia" w:ascii="宋体" w:hAnsi="宋体"/>
                <w:szCs w:val="21"/>
              </w:rPr>
              <w:t>亚马逊的起步与发展</w:t>
            </w:r>
          </w:p>
          <w:p>
            <w:pPr>
              <w:pStyle w:val="17"/>
              <w:numPr>
                <w:ilvl w:val="0"/>
                <w:numId w:val="4"/>
              </w:numPr>
              <w:spacing w:line="400" w:lineRule="exact"/>
              <w:ind w:firstLineChars="0"/>
              <w:rPr>
                <w:rFonts w:ascii="宋体" w:hAnsi="宋体"/>
                <w:szCs w:val="21"/>
              </w:rPr>
            </w:pPr>
            <w:r>
              <w:rPr>
                <w:rFonts w:hint="eastAsia" w:ascii="宋体" w:hAnsi="宋体"/>
                <w:szCs w:val="21"/>
              </w:rPr>
              <w:t>凡客为何走向没落？</w:t>
            </w:r>
          </w:p>
          <w:p>
            <w:pPr>
              <w:pStyle w:val="17"/>
              <w:numPr>
                <w:ilvl w:val="0"/>
                <w:numId w:val="2"/>
              </w:numPr>
              <w:spacing w:line="400" w:lineRule="exact"/>
              <w:ind w:firstLineChars="0"/>
              <w:rPr>
                <w:rFonts w:ascii="宋体" w:hAnsi="宋体"/>
                <w:szCs w:val="21"/>
              </w:rPr>
            </w:pPr>
            <w:r>
              <w:rPr>
                <w:rFonts w:hint="eastAsia" w:ascii="宋体" w:hAnsi="宋体"/>
                <w:szCs w:val="21"/>
              </w:rPr>
              <w:t>跨境电子商务概述</w:t>
            </w:r>
          </w:p>
          <w:p>
            <w:pPr>
              <w:pStyle w:val="17"/>
              <w:numPr>
                <w:ilvl w:val="0"/>
                <w:numId w:val="5"/>
              </w:numPr>
              <w:spacing w:line="400" w:lineRule="exact"/>
              <w:ind w:firstLineChars="0"/>
              <w:rPr>
                <w:rFonts w:ascii="宋体" w:hAnsi="宋体"/>
                <w:szCs w:val="21"/>
              </w:rPr>
            </w:pPr>
            <w:r>
              <w:rPr>
                <w:rFonts w:hint="eastAsia" w:ascii="宋体" w:hAnsi="宋体"/>
                <w:szCs w:val="21"/>
              </w:rPr>
              <w:t>跨境电子商务概述</w:t>
            </w:r>
          </w:p>
          <w:p>
            <w:pPr>
              <w:pStyle w:val="17"/>
              <w:numPr>
                <w:ilvl w:val="0"/>
                <w:numId w:val="5"/>
              </w:numPr>
              <w:spacing w:line="400" w:lineRule="exact"/>
              <w:ind w:firstLineChars="0"/>
              <w:rPr>
                <w:rFonts w:ascii="宋体" w:hAnsi="宋体"/>
                <w:szCs w:val="21"/>
              </w:rPr>
            </w:pPr>
            <w:r>
              <w:rPr>
                <w:rFonts w:hint="eastAsia" w:ascii="宋体" w:hAnsi="宋体"/>
                <w:szCs w:val="21"/>
              </w:rPr>
              <w:t>中国跨境电子商务发展历程</w:t>
            </w:r>
          </w:p>
          <w:p>
            <w:pPr>
              <w:pStyle w:val="17"/>
              <w:numPr>
                <w:ilvl w:val="0"/>
                <w:numId w:val="5"/>
              </w:numPr>
              <w:spacing w:line="400" w:lineRule="exact"/>
              <w:ind w:firstLineChars="0"/>
              <w:rPr>
                <w:rFonts w:ascii="宋体" w:hAnsi="宋体"/>
                <w:szCs w:val="21"/>
              </w:rPr>
            </w:pPr>
            <w:r>
              <w:rPr>
                <w:rFonts w:hint="eastAsia" w:ascii="宋体" w:hAnsi="宋体"/>
                <w:szCs w:val="21"/>
              </w:rPr>
              <w:t>中国跨境电子商务市场</w:t>
            </w:r>
          </w:p>
          <w:p>
            <w:pPr>
              <w:pStyle w:val="17"/>
              <w:numPr>
                <w:ilvl w:val="0"/>
                <w:numId w:val="5"/>
              </w:numPr>
              <w:spacing w:line="400" w:lineRule="exact"/>
              <w:ind w:firstLineChars="0"/>
              <w:rPr>
                <w:rFonts w:ascii="宋体" w:hAnsi="宋体"/>
                <w:szCs w:val="21"/>
              </w:rPr>
            </w:pPr>
            <w:r>
              <w:rPr>
                <w:rFonts w:hint="eastAsia" w:ascii="宋体" w:hAnsi="宋体"/>
                <w:szCs w:val="21"/>
              </w:rPr>
              <w:t>中国-全球跨境贸易现状</w:t>
            </w:r>
          </w:p>
          <w:p>
            <w:pPr>
              <w:pStyle w:val="17"/>
              <w:numPr>
                <w:ilvl w:val="0"/>
                <w:numId w:val="5"/>
              </w:numPr>
              <w:spacing w:line="400" w:lineRule="exact"/>
              <w:ind w:firstLineChars="0"/>
              <w:rPr>
                <w:rFonts w:ascii="宋体" w:hAnsi="宋体"/>
                <w:szCs w:val="21"/>
              </w:rPr>
            </w:pPr>
            <w:r>
              <w:rPr>
                <w:rFonts w:hint="eastAsia" w:ascii="宋体" w:hAnsi="宋体"/>
                <w:szCs w:val="21"/>
              </w:rPr>
              <w:t>中国跨境电商政策演进</w:t>
            </w:r>
          </w:p>
          <w:p>
            <w:pPr>
              <w:pStyle w:val="17"/>
              <w:numPr>
                <w:ilvl w:val="0"/>
                <w:numId w:val="5"/>
              </w:numPr>
              <w:spacing w:line="400" w:lineRule="exact"/>
              <w:ind w:firstLineChars="0"/>
              <w:rPr>
                <w:rFonts w:ascii="宋体" w:hAnsi="宋体"/>
                <w:szCs w:val="21"/>
              </w:rPr>
            </w:pPr>
            <w:r>
              <w:rPr>
                <w:rFonts w:hint="eastAsia" w:ascii="宋体" w:hAnsi="宋体"/>
                <w:szCs w:val="21"/>
              </w:rPr>
              <w:t>中国跨境电商发展的展望</w:t>
            </w:r>
          </w:p>
          <w:p>
            <w:pPr>
              <w:pStyle w:val="17"/>
              <w:numPr>
                <w:ilvl w:val="0"/>
                <w:numId w:val="5"/>
              </w:numPr>
              <w:spacing w:line="400" w:lineRule="exact"/>
              <w:ind w:firstLineChars="0"/>
              <w:rPr>
                <w:rFonts w:ascii="宋体" w:hAnsi="宋体"/>
                <w:szCs w:val="21"/>
              </w:rPr>
            </w:pPr>
            <w:r>
              <w:rPr>
                <w:rFonts w:hint="eastAsia" w:ascii="宋体" w:hAnsi="宋体"/>
                <w:szCs w:val="21"/>
              </w:rPr>
              <w:t>案例研讨</w:t>
            </w:r>
          </w:p>
          <w:p>
            <w:pPr>
              <w:spacing w:line="400" w:lineRule="exact"/>
              <w:rPr>
                <w:rFonts w:ascii="宋体" w:hAnsi="宋体"/>
                <w:szCs w:val="21"/>
              </w:rPr>
            </w:pPr>
            <w:r>
              <w:rPr>
                <w:rFonts w:hint="eastAsia" w:ascii="宋体" w:hAnsi="宋体"/>
                <w:szCs w:val="21"/>
              </w:rPr>
              <w:t>跨境电商物流模式的选择</w:t>
            </w:r>
          </w:p>
        </w:tc>
        <w:tc>
          <w:tcPr>
            <w:tcW w:w="2229" w:type="dxa"/>
            <w:gridSpan w:val="7"/>
            <w:vAlign w:val="center"/>
          </w:tcPr>
          <w:p>
            <w:pPr>
              <w:spacing w:line="400" w:lineRule="exact"/>
              <w:rPr>
                <w:rFonts w:ascii="宋体" w:hAnsi="宋体"/>
                <w:szCs w:val="21"/>
              </w:rPr>
            </w:pPr>
            <w:r>
              <w:rPr>
                <w:rFonts w:hint="eastAsia" w:ascii="宋体" w:hAnsi="宋体"/>
                <w:szCs w:val="21"/>
              </w:rPr>
              <w:t>通过本章的教学，使学生对电子商务、跨境电子商务有一定程度的了解；掌握电子商务的基础概念、我国电子商务的发展现状及趋势、电子商务与物流的关系；掌握跨境电子商务的概念、了解我国跨境电子商务发展历程、对我国跨境电子商务市场的发展及政策演进有一定程度的了解和认识；对未来跨境电商的发展趋势有自己的见解。并通过案例分析与讨论，深化学生对电子商务、跨境电子商务相关知识的掌握。</w:t>
            </w:r>
          </w:p>
          <w:p>
            <w:pPr>
              <w:spacing w:line="400" w:lineRule="exact"/>
              <w:rPr>
                <w:rFonts w:ascii="宋体" w:hAnsi="宋体"/>
                <w:szCs w:val="21"/>
              </w:rPr>
            </w:pPr>
          </w:p>
        </w:tc>
        <w:tc>
          <w:tcPr>
            <w:tcW w:w="3897" w:type="dxa"/>
            <w:gridSpan w:val="8"/>
            <w:vAlign w:val="center"/>
          </w:tcPr>
          <w:p>
            <w:pPr>
              <w:spacing w:line="400" w:lineRule="exact"/>
              <w:rPr>
                <w:rFonts w:ascii="宋体" w:hAnsi="宋体"/>
                <w:szCs w:val="21"/>
              </w:rPr>
            </w:pPr>
            <w:r>
              <w:rPr>
                <w:rFonts w:hint="eastAsia" w:ascii="宋体" w:hAnsi="宋体"/>
                <w:szCs w:val="21"/>
              </w:rPr>
              <w:t>讲授、讨论、多媒体教学相结合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363" w:hRule="atLeast"/>
          <w:jc w:val="center"/>
        </w:trPr>
        <w:tc>
          <w:tcPr>
            <w:tcW w:w="3429" w:type="dxa"/>
            <w:gridSpan w:val="5"/>
            <w:vAlign w:val="center"/>
          </w:tcPr>
          <w:p>
            <w:pPr>
              <w:numPr>
                <w:ilvl w:val="0"/>
                <w:numId w:val="1"/>
              </w:numPr>
              <w:spacing w:line="400" w:lineRule="exact"/>
              <w:rPr>
                <w:rFonts w:ascii="宋体" w:hAnsi="宋体"/>
                <w:szCs w:val="21"/>
              </w:rPr>
            </w:pPr>
            <w:r>
              <w:rPr>
                <w:rFonts w:hint="eastAsia" w:ascii="宋体" w:hAnsi="宋体"/>
                <w:szCs w:val="21"/>
              </w:rPr>
              <w:t>航空快递模块（8课时）</w:t>
            </w:r>
          </w:p>
          <w:p>
            <w:pPr>
              <w:spacing w:line="400" w:lineRule="exact"/>
              <w:rPr>
                <w:rFonts w:ascii="宋体" w:hAnsi="宋体"/>
                <w:szCs w:val="21"/>
              </w:rPr>
            </w:pPr>
            <w:r>
              <w:rPr>
                <w:rFonts w:hint="eastAsia" w:ascii="宋体" w:hAnsi="宋体"/>
                <w:szCs w:val="21"/>
              </w:rPr>
              <w:t>第一节 快递服务概述</w:t>
            </w:r>
          </w:p>
          <w:p>
            <w:pPr>
              <w:spacing w:line="400" w:lineRule="exact"/>
              <w:rPr>
                <w:rFonts w:ascii="宋体" w:hAnsi="宋体"/>
                <w:szCs w:val="21"/>
              </w:rPr>
            </w:pPr>
            <w:r>
              <w:rPr>
                <w:rFonts w:hint="eastAsia" w:ascii="宋体" w:hAnsi="宋体"/>
                <w:szCs w:val="21"/>
              </w:rPr>
              <w:t>一、快递服务的概念及特点</w:t>
            </w:r>
          </w:p>
          <w:p>
            <w:pPr>
              <w:spacing w:line="400" w:lineRule="exact"/>
              <w:rPr>
                <w:rFonts w:ascii="宋体" w:hAnsi="宋体"/>
                <w:szCs w:val="21"/>
              </w:rPr>
            </w:pPr>
            <w:r>
              <w:rPr>
                <w:rFonts w:hint="eastAsia" w:ascii="宋体" w:hAnsi="宋体"/>
                <w:szCs w:val="21"/>
              </w:rPr>
              <w:t>二、快递服务的发展史及各时期的经营管制</w:t>
            </w:r>
          </w:p>
          <w:p>
            <w:pPr>
              <w:spacing w:line="400" w:lineRule="exact"/>
              <w:rPr>
                <w:rFonts w:ascii="宋体" w:hAnsi="宋体"/>
                <w:szCs w:val="21"/>
              </w:rPr>
            </w:pPr>
            <w:r>
              <w:rPr>
                <w:rFonts w:hint="eastAsia" w:ascii="宋体" w:hAnsi="宋体"/>
                <w:szCs w:val="21"/>
              </w:rPr>
              <w:t>三、快递业发展的基本格局</w:t>
            </w:r>
          </w:p>
          <w:p>
            <w:pPr>
              <w:numPr>
                <w:ilvl w:val="0"/>
                <w:numId w:val="6"/>
              </w:numPr>
              <w:spacing w:line="400" w:lineRule="exact"/>
              <w:rPr>
                <w:rFonts w:ascii="宋体" w:hAnsi="宋体"/>
                <w:szCs w:val="21"/>
              </w:rPr>
            </w:pPr>
            <w:r>
              <w:rPr>
                <w:rFonts w:hint="eastAsia" w:ascii="宋体" w:hAnsi="宋体"/>
                <w:szCs w:val="21"/>
              </w:rPr>
              <w:t>航空快递概述</w:t>
            </w:r>
          </w:p>
          <w:p>
            <w:pPr>
              <w:spacing w:line="400" w:lineRule="exact"/>
              <w:rPr>
                <w:rFonts w:ascii="宋体" w:hAnsi="宋体"/>
                <w:szCs w:val="21"/>
              </w:rPr>
            </w:pPr>
            <w:r>
              <w:rPr>
                <w:rFonts w:hint="eastAsia" w:ascii="宋体" w:hAnsi="宋体"/>
                <w:szCs w:val="21"/>
              </w:rPr>
              <w:t>一、航空快递的特征</w:t>
            </w:r>
          </w:p>
          <w:p>
            <w:pPr>
              <w:spacing w:line="400" w:lineRule="exact"/>
              <w:rPr>
                <w:rFonts w:ascii="宋体" w:hAnsi="宋体"/>
                <w:szCs w:val="21"/>
              </w:rPr>
            </w:pPr>
            <w:r>
              <w:rPr>
                <w:rFonts w:hint="eastAsia" w:ascii="宋体" w:hAnsi="宋体"/>
                <w:szCs w:val="21"/>
              </w:rPr>
              <w:t>二、航空快递的发展历程</w:t>
            </w:r>
          </w:p>
          <w:p>
            <w:pPr>
              <w:spacing w:line="400" w:lineRule="exact"/>
              <w:rPr>
                <w:rFonts w:ascii="宋体" w:hAnsi="宋体"/>
                <w:szCs w:val="21"/>
              </w:rPr>
            </w:pPr>
            <w:r>
              <w:rPr>
                <w:rFonts w:hint="eastAsia" w:ascii="宋体" w:hAnsi="宋体"/>
                <w:szCs w:val="21"/>
              </w:rPr>
              <w:t>三、航空快递的发展现状和趋势</w:t>
            </w:r>
          </w:p>
          <w:p>
            <w:pPr>
              <w:spacing w:line="400" w:lineRule="exact"/>
              <w:rPr>
                <w:rFonts w:ascii="宋体" w:hAnsi="宋体"/>
                <w:szCs w:val="21"/>
              </w:rPr>
            </w:pPr>
            <w:r>
              <w:rPr>
                <w:rFonts w:hint="eastAsia" w:ascii="宋体" w:hAnsi="宋体"/>
                <w:szCs w:val="21"/>
              </w:rPr>
              <w:t>四、案例研讨</w:t>
            </w:r>
          </w:p>
          <w:p>
            <w:pPr>
              <w:spacing w:line="400" w:lineRule="exact"/>
              <w:rPr>
                <w:rFonts w:ascii="宋体" w:hAnsi="宋体"/>
                <w:szCs w:val="21"/>
              </w:rPr>
            </w:pPr>
            <w:r>
              <w:rPr>
                <w:rFonts w:hint="eastAsia" w:ascii="宋体" w:hAnsi="宋体"/>
                <w:szCs w:val="21"/>
              </w:rPr>
              <w:t>1、FedEx案例分析</w:t>
            </w:r>
          </w:p>
          <w:p>
            <w:pPr>
              <w:spacing w:line="400" w:lineRule="exact"/>
              <w:rPr>
                <w:rFonts w:ascii="宋体" w:hAnsi="宋体"/>
                <w:szCs w:val="21"/>
              </w:rPr>
            </w:pPr>
            <w:r>
              <w:rPr>
                <w:rFonts w:hint="eastAsia" w:ascii="宋体" w:hAnsi="宋体"/>
                <w:szCs w:val="21"/>
              </w:rPr>
              <w:t>2、UPS案例分析</w:t>
            </w:r>
          </w:p>
          <w:p>
            <w:pPr>
              <w:spacing w:line="400" w:lineRule="exact"/>
              <w:rPr>
                <w:rFonts w:ascii="宋体" w:hAnsi="宋体"/>
                <w:szCs w:val="21"/>
              </w:rPr>
            </w:pPr>
            <w:r>
              <w:rPr>
                <w:rFonts w:hint="eastAsia" w:ascii="宋体" w:hAnsi="宋体"/>
                <w:szCs w:val="21"/>
              </w:rPr>
              <w:t>3、DHL案例分析</w:t>
            </w:r>
          </w:p>
          <w:p>
            <w:pPr>
              <w:spacing w:line="400" w:lineRule="exact"/>
              <w:rPr>
                <w:rFonts w:ascii="宋体" w:hAnsi="宋体"/>
                <w:szCs w:val="21"/>
              </w:rPr>
            </w:pPr>
            <w:r>
              <w:rPr>
                <w:rFonts w:hint="eastAsia" w:ascii="宋体" w:hAnsi="宋体"/>
                <w:szCs w:val="21"/>
              </w:rPr>
              <w:t>4、TNT案例分析</w:t>
            </w:r>
          </w:p>
          <w:p>
            <w:pPr>
              <w:spacing w:line="400" w:lineRule="exact"/>
              <w:rPr>
                <w:rFonts w:ascii="宋体" w:hAnsi="宋体"/>
                <w:szCs w:val="21"/>
              </w:rPr>
            </w:pPr>
            <w:r>
              <w:rPr>
                <w:rFonts w:hint="eastAsia" w:ascii="宋体" w:hAnsi="宋体"/>
                <w:szCs w:val="21"/>
              </w:rPr>
              <w:t>第三节 航空快递业务流程及分拨中心的运营</w:t>
            </w:r>
          </w:p>
          <w:p>
            <w:pPr>
              <w:pStyle w:val="17"/>
              <w:numPr>
                <w:ilvl w:val="0"/>
                <w:numId w:val="7"/>
              </w:numPr>
              <w:spacing w:line="400" w:lineRule="exact"/>
              <w:ind w:firstLineChars="0"/>
              <w:rPr>
                <w:rFonts w:ascii="宋体" w:hAnsi="宋体"/>
                <w:szCs w:val="21"/>
              </w:rPr>
            </w:pPr>
            <w:r>
              <w:rPr>
                <w:rFonts w:hint="eastAsia" w:ascii="宋体" w:hAnsi="宋体"/>
                <w:szCs w:val="21"/>
              </w:rPr>
              <w:t>航空快递的业务流程</w:t>
            </w:r>
          </w:p>
          <w:p>
            <w:pPr>
              <w:pStyle w:val="17"/>
              <w:numPr>
                <w:ilvl w:val="0"/>
                <w:numId w:val="7"/>
              </w:numPr>
              <w:spacing w:line="400" w:lineRule="exact"/>
              <w:ind w:firstLineChars="0"/>
              <w:rPr>
                <w:rFonts w:ascii="宋体" w:hAnsi="宋体"/>
                <w:szCs w:val="21"/>
              </w:rPr>
            </w:pPr>
            <w:r>
              <w:rPr>
                <w:rFonts w:hint="eastAsia" w:ascii="宋体" w:hAnsi="宋体"/>
                <w:szCs w:val="21"/>
              </w:rPr>
              <w:t>航空快递分拨中心的运营</w:t>
            </w:r>
          </w:p>
          <w:p>
            <w:pPr>
              <w:pStyle w:val="17"/>
              <w:numPr>
                <w:ilvl w:val="0"/>
                <w:numId w:val="7"/>
              </w:numPr>
              <w:spacing w:line="400" w:lineRule="exact"/>
              <w:ind w:firstLineChars="0"/>
              <w:rPr>
                <w:rFonts w:ascii="宋体" w:hAnsi="宋体"/>
                <w:szCs w:val="21"/>
              </w:rPr>
            </w:pPr>
            <w:r>
              <w:rPr>
                <w:rFonts w:hint="eastAsia" w:ascii="宋体" w:hAnsi="宋体"/>
                <w:szCs w:val="21"/>
              </w:rPr>
              <w:t>案例研讨</w:t>
            </w:r>
          </w:p>
          <w:p>
            <w:pPr>
              <w:spacing w:line="400" w:lineRule="exact"/>
              <w:rPr>
                <w:rFonts w:ascii="宋体" w:hAnsi="宋体"/>
                <w:szCs w:val="21"/>
              </w:rPr>
            </w:pPr>
            <w:r>
              <w:rPr>
                <w:rFonts w:hint="eastAsia" w:ascii="宋体" w:hAnsi="宋体"/>
                <w:szCs w:val="21"/>
              </w:rPr>
              <w:t>UPS世界港</w:t>
            </w:r>
          </w:p>
        </w:tc>
        <w:tc>
          <w:tcPr>
            <w:tcW w:w="2229" w:type="dxa"/>
            <w:gridSpan w:val="7"/>
            <w:vAlign w:val="center"/>
          </w:tcPr>
          <w:p>
            <w:pPr>
              <w:spacing w:line="400" w:lineRule="exact"/>
              <w:rPr>
                <w:rFonts w:ascii="宋体" w:hAnsi="宋体"/>
                <w:szCs w:val="21"/>
              </w:rPr>
            </w:pPr>
            <w:r>
              <w:rPr>
                <w:rFonts w:hint="eastAsia" w:ascii="宋体" w:hAnsi="宋体"/>
                <w:szCs w:val="21"/>
              </w:rPr>
              <w:t>掌握快递和航空快递的定义、分类、特征、发展历程、现状和趋势；对航空快递的业务流程：货物接收、货物运送、货物到达与交付进行重点讲解，以UPS世界港为例介绍快递分拨中心的运营流程及使用的高科技设施设备，使学生具备对航空快递业务流程进行分析和优化的能力。</w:t>
            </w:r>
          </w:p>
        </w:tc>
        <w:tc>
          <w:tcPr>
            <w:tcW w:w="3897" w:type="dxa"/>
            <w:gridSpan w:val="8"/>
            <w:vAlign w:val="center"/>
          </w:tcPr>
          <w:p>
            <w:pPr>
              <w:spacing w:line="400" w:lineRule="exact"/>
              <w:rPr>
                <w:rFonts w:ascii="宋体" w:hAnsi="宋体"/>
                <w:szCs w:val="21"/>
              </w:rPr>
            </w:pPr>
            <w:r>
              <w:rPr>
                <w:rFonts w:hint="eastAsia" w:ascii="宋体" w:hAnsi="宋体"/>
                <w:szCs w:val="21"/>
              </w:rPr>
              <w:t>讲授、讨论、多媒体教学相结合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425" w:hRule="atLeast"/>
          <w:jc w:val="center"/>
        </w:trPr>
        <w:tc>
          <w:tcPr>
            <w:tcW w:w="3429" w:type="dxa"/>
            <w:gridSpan w:val="5"/>
            <w:vAlign w:val="center"/>
          </w:tcPr>
          <w:p>
            <w:pPr>
              <w:spacing w:line="400" w:lineRule="exact"/>
              <w:rPr>
                <w:rFonts w:ascii="宋体" w:hAnsi="宋体"/>
                <w:szCs w:val="21"/>
              </w:rPr>
            </w:pPr>
            <w:r>
              <w:rPr>
                <w:rFonts w:hint="eastAsia" w:ascii="宋体" w:hAnsi="宋体"/>
                <w:szCs w:val="21"/>
              </w:rPr>
              <w:t>第三章 电子商务与快递的关系模块（6课时）</w:t>
            </w:r>
          </w:p>
          <w:p>
            <w:pPr>
              <w:spacing w:line="400" w:lineRule="exact"/>
              <w:rPr>
                <w:rFonts w:ascii="宋体" w:hAnsi="宋体"/>
                <w:szCs w:val="21"/>
              </w:rPr>
            </w:pPr>
            <w:r>
              <w:rPr>
                <w:rFonts w:hint="eastAsia" w:ascii="宋体" w:hAnsi="宋体"/>
                <w:szCs w:val="21"/>
              </w:rPr>
              <w:t>第一节 电子商务对快递的影响</w:t>
            </w:r>
          </w:p>
          <w:p>
            <w:pPr>
              <w:pStyle w:val="17"/>
              <w:spacing w:line="400" w:lineRule="exact"/>
              <w:ind w:firstLine="0" w:firstLineChars="0"/>
              <w:rPr>
                <w:rFonts w:ascii="宋体" w:hAnsi="宋体"/>
                <w:szCs w:val="21"/>
              </w:rPr>
            </w:pPr>
            <w:r>
              <w:rPr>
                <w:rFonts w:hint="eastAsia" w:ascii="宋体" w:hAnsi="宋体"/>
                <w:szCs w:val="21"/>
              </w:rPr>
              <w:t>一、电商为快递提供广阔发展空间</w:t>
            </w:r>
          </w:p>
          <w:p>
            <w:pPr>
              <w:spacing w:line="400" w:lineRule="exact"/>
              <w:rPr>
                <w:rFonts w:ascii="宋体" w:hAnsi="宋体"/>
                <w:szCs w:val="21"/>
              </w:rPr>
            </w:pPr>
            <w:r>
              <w:rPr>
                <w:rFonts w:hint="eastAsia" w:ascii="宋体" w:hAnsi="宋体"/>
                <w:szCs w:val="21"/>
              </w:rPr>
              <w:t>二、电商使快递物流需求更加复杂化</w:t>
            </w:r>
          </w:p>
          <w:p>
            <w:pPr>
              <w:spacing w:line="400" w:lineRule="exact"/>
              <w:rPr>
                <w:rFonts w:ascii="宋体" w:hAnsi="宋体"/>
                <w:szCs w:val="21"/>
              </w:rPr>
            </w:pPr>
            <w:r>
              <w:rPr>
                <w:rFonts w:hint="eastAsia" w:ascii="宋体" w:hAnsi="宋体"/>
                <w:szCs w:val="21"/>
              </w:rPr>
              <w:t>三、电商拓宽快递服务的空间</w:t>
            </w:r>
          </w:p>
          <w:p>
            <w:pPr>
              <w:spacing w:line="400" w:lineRule="exact"/>
              <w:rPr>
                <w:rFonts w:ascii="宋体" w:hAnsi="宋体"/>
                <w:szCs w:val="21"/>
              </w:rPr>
            </w:pPr>
            <w:r>
              <w:rPr>
                <w:rFonts w:hint="eastAsia" w:ascii="宋体" w:hAnsi="宋体"/>
                <w:szCs w:val="21"/>
              </w:rPr>
              <w:t>四、电商推动快递技术水平提高</w:t>
            </w:r>
          </w:p>
          <w:p>
            <w:pPr>
              <w:spacing w:line="400" w:lineRule="exact"/>
              <w:rPr>
                <w:rFonts w:ascii="宋体" w:hAnsi="宋体"/>
                <w:szCs w:val="21"/>
              </w:rPr>
            </w:pPr>
            <w:r>
              <w:rPr>
                <w:rFonts w:hint="eastAsia" w:ascii="宋体" w:hAnsi="宋体"/>
                <w:szCs w:val="21"/>
              </w:rPr>
              <w:t>五、电商推动快递管理水平提高</w:t>
            </w:r>
          </w:p>
          <w:p>
            <w:pPr>
              <w:spacing w:line="400" w:lineRule="exact"/>
              <w:rPr>
                <w:rFonts w:ascii="宋体" w:hAnsi="宋体"/>
                <w:szCs w:val="21"/>
              </w:rPr>
            </w:pPr>
            <w:r>
              <w:rPr>
                <w:rFonts w:hint="eastAsia" w:ascii="宋体" w:hAnsi="宋体"/>
                <w:szCs w:val="21"/>
              </w:rPr>
              <w:t>第二节 快递对电子商务的影响</w:t>
            </w:r>
          </w:p>
          <w:p>
            <w:pPr>
              <w:spacing w:line="400" w:lineRule="exact"/>
              <w:rPr>
                <w:rFonts w:ascii="宋体" w:hAnsi="宋体"/>
                <w:szCs w:val="21"/>
              </w:rPr>
            </w:pPr>
            <w:r>
              <w:rPr>
                <w:rFonts w:hint="eastAsia" w:ascii="宋体" w:hAnsi="宋体"/>
                <w:szCs w:val="21"/>
              </w:rPr>
              <w:t>一、快递物流是电商的重要组成部分</w:t>
            </w:r>
          </w:p>
          <w:p>
            <w:pPr>
              <w:spacing w:line="400" w:lineRule="exact"/>
              <w:rPr>
                <w:rFonts w:ascii="宋体" w:hAnsi="宋体"/>
                <w:szCs w:val="21"/>
              </w:rPr>
            </w:pPr>
            <w:r>
              <w:rPr>
                <w:rFonts w:hint="eastAsia" w:ascii="宋体" w:hAnsi="宋体"/>
                <w:szCs w:val="21"/>
              </w:rPr>
              <w:t>二、物流是电子商务概念模型的基本要素</w:t>
            </w:r>
          </w:p>
          <w:p>
            <w:pPr>
              <w:spacing w:line="400" w:lineRule="exact"/>
              <w:rPr>
                <w:rFonts w:ascii="宋体" w:hAnsi="宋体"/>
                <w:szCs w:val="21"/>
              </w:rPr>
            </w:pPr>
            <w:r>
              <w:rPr>
                <w:rFonts w:hint="eastAsia" w:ascii="宋体" w:hAnsi="宋体"/>
                <w:szCs w:val="21"/>
              </w:rPr>
              <w:t>三、快递物流是实现电子商务跨区域物流的重点</w:t>
            </w:r>
          </w:p>
          <w:p>
            <w:pPr>
              <w:spacing w:line="400" w:lineRule="exact"/>
              <w:rPr>
                <w:rFonts w:ascii="宋体" w:hAnsi="宋体"/>
                <w:szCs w:val="21"/>
              </w:rPr>
            </w:pPr>
            <w:r>
              <w:rPr>
                <w:rFonts w:hint="eastAsia" w:ascii="宋体" w:hAnsi="宋体"/>
                <w:szCs w:val="21"/>
              </w:rPr>
              <w:t>第三节 电子商务与快递的融合</w:t>
            </w:r>
          </w:p>
          <w:p>
            <w:pPr>
              <w:pStyle w:val="17"/>
              <w:numPr>
                <w:ilvl w:val="0"/>
                <w:numId w:val="8"/>
              </w:numPr>
              <w:spacing w:line="400" w:lineRule="exact"/>
              <w:ind w:firstLineChars="0"/>
              <w:rPr>
                <w:rFonts w:ascii="宋体" w:hAnsi="宋体"/>
                <w:szCs w:val="21"/>
              </w:rPr>
            </w:pPr>
            <w:r>
              <w:rPr>
                <w:rFonts w:hint="eastAsia" w:ascii="宋体" w:hAnsi="宋体"/>
                <w:szCs w:val="21"/>
              </w:rPr>
              <w:t>电商布局快递</w:t>
            </w:r>
          </w:p>
          <w:p>
            <w:pPr>
              <w:pStyle w:val="17"/>
              <w:numPr>
                <w:ilvl w:val="0"/>
                <w:numId w:val="8"/>
              </w:numPr>
              <w:spacing w:line="400" w:lineRule="exact"/>
              <w:ind w:firstLineChars="0"/>
              <w:rPr>
                <w:rFonts w:ascii="宋体" w:hAnsi="宋体"/>
                <w:szCs w:val="21"/>
              </w:rPr>
            </w:pPr>
            <w:r>
              <w:rPr>
                <w:rFonts w:hint="eastAsia" w:ascii="宋体" w:hAnsi="宋体"/>
                <w:szCs w:val="21"/>
              </w:rPr>
              <w:t>快递布局电商</w:t>
            </w:r>
          </w:p>
          <w:p>
            <w:pPr>
              <w:pStyle w:val="17"/>
              <w:numPr>
                <w:ilvl w:val="0"/>
                <w:numId w:val="8"/>
              </w:numPr>
              <w:spacing w:line="400" w:lineRule="exact"/>
              <w:ind w:firstLineChars="0"/>
              <w:rPr>
                <w:rFonts w:ascii="宋体" w:hAnsi="宋体"/>
                <w:szCs w:val="21"/>
              </w:rPr>
            </w:pPr>
            <w:r>
              <w:rPr>
                <w:rFonts w:hint="eastAsia" w:ascii="宋体" w:hAnsi="宋体"/>
                <w:szCs w:val="21"/>
              </w:rPr>
              <w:t>案例研讨</w:t>
            </w:r>
          </w:p>
          <w:p>
            <w:pPr>
              <w:spacing w:line="400" w:lineRule="exact"/>
              <w:rPr>
                <w:rFonts w:ascii="宋体" w:hAnsi="宋体"/>
                <w:szCs w:val="21"/>
              </w:rPr>
            </w:pPr>
            <w:r>
              <w:rPr>
                <w:rFonts w:hint="eastAsia" w:ascii="宋体" w:hAnsi="宋体"/>
                <w:szCs w:val="21"/>
              </w:rPr>
              <w:t>1、电商布局快递案例分析：京东、菜鸟网络、亚马逊等</w:t>
            </w:r>
          </w:p>
          <w:p>
            <w:pPr>
              <w:spacing w:line="400" w:lineRule="exact"/>
              <w:rPr>
                <w:rFonts w:ascii="宋体" w:hAnsi="宋体"/>
                <w:szCs w:val="21"/>
              </w:rPr>
            </w:pPr>
            <w:r>
              <w:rPr>
                <w:rFonts w:hint="eastAsia" w:ascii="宋体" w:hAnsi="宋体"/>
                <w:szCs w:val="21"/>
              </w:rPr>
              <w:t>2、快递布局电商案例分析：顺丰、圆通、邮政等</w:t>
            </w:r>
          </w:p>
        </w:tc>
        <w:tc>
          <w:tcPr>
            <w:tcW w:w="2229" w:type="dxa"/>
            <w:gridSpan w:val="7"/>
            <w:vAlign w:val="center"/>
          </w:tcPr>
          <w:p>
            <w:pPr>
              <w:spacing w:line="400" w:lineRule="exact"/>
              <w:rPr>
                <w:rFonts w:ascii="宋体" w:hAnsi="宋体"/>
                <w:szCs w:val="21"/>
              </w:rPr>
            </w:pPr>
            <w:r>
              <w:rPr>
                <w:rFonts w:hint="eastAsia" w:ascii="宋体" w:hAnsi="宋体"/>
                <w:szCs w:val="21"/>
              </w:rPr>
              <w:t>了解电子商务与快递的关系，分别从电商对快递的影响、快递对电商的影响两个角度分析两者的关系。同时，掌握电子商务与快递融合的现象，分析电商布局快递、快递布局电商的原因、效果以及未来展望，并通过具体的案例分析加深学生对电商与快递融合的理解与认识。</w:t>
            </w:r>
          </w:p>
        </w:tc>
        <w:tc>
          <w:tcPr>
            <w:tcW w:w="3897" w:type="dxa"/>
            <w:gridSpan w:val="8"/>
            <w:vAlign w:val="center"/>
          </w:tcPr>
          <w:p>
            <w:pPr>
              <w:spacing w:line="400" w:lineRule="exact"/>
              <w:rPr>
                <w:rFonts w:ascii="宋体" w:hAnsi="宋体"/>
                <w:szCs w:val="21"/>
              </w:rPr>
            </w:pPr>
            <w:r>
              <w:rPr>
                <w:rFonts w:hint="eastAsia" w:ascii="宋体" w:hAnsi="宋体"/>
                <w:szCs w:val="21"/>
              </w:rPr>
              <w:t>讲授、讨论、多媒体教学相结合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300" w:hRule="atLeast"/>
          <w:jc w:val="center"/>
        </w:trPr>
        <w:tc>
          <w:tcPr>
            <w:tcW w:w="3429" w:type="dxa"/>
            <w:gridSpan w:val="5"/>
            <w:vAlign w:val="center"/>
          </w:tcPr>
          <w:p>
            <w:pPr>
              <w:spacing w:line="400" w:lineRule="exact"/>
              <w:rPr>
                <w:rFonts w:ascii="宋体" w:hAnsi="宋体"/>
                <w:szCs w:val="21"/>
              </w:rPr>
            </w:pPr>
            <w:r>
              <w:rPr>
                <w:rFonts w:hint="eastAsia" w:ascii="宋体" w:hAnsi="宋体"/>
                <w:szCs w:val="21"/>
              </w:rPr>
              <w:t>第四章 航空快递企业发展战略模块（6课时）</w:t>
            </w:r>
          </w:p>
          <w:p>
            <w:pPr>
              <w:spacing w:line="400" w:lineRule="exact"/>
              <w:rPr>
                <w:rFonts w:ascii="宋体" w:hAnsi="宋体"/>
                <w:szCs w:val="21"/>
              </w:rPr>
            </w:pPr>
            <w:r>
              <w:rPr>
                <w:rFonts w:hint="eastAsia" w:ascii="宋体" w:hAnsi="宋体"/>
                <w:szCs w:val="21"/>
              </w:rPr>
              <w:t>第一节 国内外典型航空快递企业发展历程演进</w:t>
            </w:r>
          </w:p>
          <w:p>
            <w:pPr>
              <w:spacing w:line="400" w:lineRule="exact"/>
              <w:rPr>
                <w:rFonts w:ascii="宋体" w:hAnsi="宋体"/>
                <w:szCs w:val="21"/>
              </w:rPr>
            </w:pPr>
            <w:r>
              <w:rPr>
                <w:rFonts w:hint="eastAsia" w:ascii="宋体" w:hAnsi="宋体"/>
                <w:szCs w:val="21"/>
              </w:rPr>
              <w:t>一、FedEx、UPS的发展历程演进及对比</w:t>
            </w:r>
          </w:p>
          <w:p>
            <w:pPr>
              <w:spacing w:line="400" w:lineRule="exact"/>
              <w:rPr>
                <w:rFonts w:ascii="宋体" w:hAnsi="宋体"/>
                <w:szCs w:val="21"/>
              </w:rPr>
            </w:pPr>
            <w:r>
              <w:rPr>
                <w:rFonts w:hint="eastAsia" w:ascii="宋体" w:hAnsi="宋体"/>
                <w:szCs w:val="21"/>
              </w:rPr>
              <w:t>二、顺丰快递的发展历程分析</w:t>
            </w:r>
          </w:p>
          <w:p>
            <w:pPr>
              <w:spacing w:line="400" w:lineRule="exact"/>
              <w:rPr>
                <w:rFonts w:ascii="宋体" w:hAnsi="宋体"/>
                <w:szCs w:val="21"/>
              </w:rPr>
            </w:pPr>
            <w:r>
              <w:rPr>
                <w:rFonts w:hint="eastAsia" w:ascii="宋体" w:hAnsi="宋体"/>
                <w:szCs w:val="21"/>
              </w:rPr>
              <w:t>第二节 跨境电子商务背景下航空快递企业的发展战略制定</w:t>
            </w:r>
          </w:p>
          <w:p>
            <w:pPr>
              <w:spacing w:line="400" w:lineRule="exact"/>
              <w:rPr>
                <w:rFonts w:ascii="宋体" w:hAnsi="宋体"/>
                <w:szCs w:val="21"/>
              </w:rPr>
            </w:pPr>
            <w:r>
              <w:rPr>
                <w:rFonts w:hint="eastAsia" w:ascii="宋体" w:hAnsi="宋体"/>
                <w:szCs w:val="21"/>
              </w:rPr>
              <w:t>一、企业发展战略制定的方法研究</w:t>
            </w:r>
          </w:p>
          <w:p>
            <w:pPr>
              <w:spacing w:line="400" w:lineRule="exact"/>
              <w:rPr>
                <w:rFonts w:ascii="宋体" w:hAnsi="宋体"/>
                <w:szCs w:val="21"/>
              </w:rPr>
            </w:pPr>
            <w:r>
              <w:rPr>
                <w:rFonts w:hint="eastAsia" w:ascii="宋体" w:hAnsi="宋体"/>
                <w:szCs w:val="21"/>
              </w:rPr>
              <w:t>二、航空快递企业发展战略制定</w:t>
            </w:r>
          </w:p>
          <w:p>
            <w:pPr>
              <w:spacing w:line="400" w:lineRule="exact"/>
              <w:rPr>
                <w:rFonts w:ascii="宋体" w:hAnsi="宋体"/>
                <w:szCs w:val="21"/>
              </w:rPr>
            </w:pPr>
            <w:r>
              <w:rPr>
                <w:rFonts w:hint="eastAsia" w:ascii="宋体" w:hAnsi="宋体"/>
                <w:szCs w:val="21"/>
              </w:rPr>
              <w:t>三、案例研讨</w:t>
            </w:r>
          </w:p>
          <w:p>
            <w:pPr>
              <w:spacing w:line="400" w:lineRule="exact"/>
              <w:rPr>
                <w:rFonts w:ascii="宋体" w:hAnsi="宋体"/>
                <w:szCs w:val="21"/>
              </w:rPr>
            </w:pPr>
            <w:r>
              <w:rPr>
                <w:rFonts w:hint="eastAsia" w:ascii="宋体" w:hAnsi="宋体"/>
                <w:szCs w:val="21"/>
              </w:rPr>
              <w:t>顺丰的未来发展之路</w:t>
            </w:r>
          </w:p>
        </w:tc>
        <w:tc>
          <w:tcPr>
            <w:tcW w:w="2229" w:type="dxa"/>
            <w:gridSpan w:val="7"/>
            <w:vAlign w:val="center"/>
          </w:tcPr>
          <w:p>
            <w:pPr>
              <w:spacing w:line="400" w:lineRule="exact"/>
              <w:rPr>
                <w:rFonts w:ascii="宋体" w:hAnsi="宋体"/>
                <w:szCs w:val="21"/>
              </w:rPr>
            </w:pPr>
            <w:r>
              <w:rPr>
                <w:rFonts w:hint="eastAsia" w:ascii="宋体" w:hAnsi="宋体"/>
                <w:szCs w:val="21"/>
              </w:rPr>
              <w:t>掌握航空快递企业制定发展战略的基本方法。通过回顾国内外典型航空快递企业的发展历程，确定跨境电子商务发展背景下航空快递企业的战略目标与定位，并掌握战略实施与控制的基本方法。</w:t>
            </w:r>
          </w:p>
        </w:tc>
        <w:tc>
          <w:tcPr>
            <w:tcW w:w="3897" w:type="dxa"/>
            <w:gridSpan w:val="8"/>
            <w:vAlign w:val="center"/>
          </w:tcPr>
          <w:p>
            <w:pPr>
              <w:spacing w:line="400" w:lineRule="exact"/>
              <w:rPr>
                <w:rFonts w:ascii="宋体" w:hAnsi="宋体"/>
                <w:szCs w:val="21"/>
              </w:rPr>
            </w:pPr>
            <w:r>
              <w:rPr>
                <w:rFonts w:hint="eastAsia" w:ascii="宋体" w:hAnsi="宋体"/>
                <w:szCs w:val="21"/>
              </w:rPr>
              <w:t>讲授、讨论、多媒体教学相结合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3" w:type="dxa"/>
          <w:trHeight w:val="627" w:hRule="atLeast"/>
          <w:jc w:val="center"/>
        </w:trPr>
        <w:tc>
          <w:tcPr>
            <w:tcW w:w="9555" w:type="dxa"/>
            <w:gridSpan w:val="20"/>
            <w:vAlign w:val="center"/>
          </w:tcPr>
          <w:p>
            <w:pPr>
              <w:spacing w:line="400" w:lineRule="exact"/>
              <w:jc w:val="center"/>
              <w:rPr>
                <w:rFonts w:ascii="宋体" w:hAnsi="宋体"/>
                <w:szCs w:val="21"/>
              </w:rPr>
            </w:pPr>
            <w:r>
              <w:rPr>
                <w:rFonts w:hint="eastAsia" w:ascii="宋体" w:hAnsi="宋体" w:cs="楷体_GB2312"/>
                <w:b/>
                <w:bCs/>
                <w:kern w:val="0"/>
                <w:szCs w:val="21"/>
              </w:rPr>
              <w:t>教材及教学参考资料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8" w:type="dxa"/>
          <w:cantSplit/>
          <w:jc w:val="center"/>
        </w:trPr>
        <w:tc>
          <w:tcPr>
            <w:tcW w:w="748" w:type="dxa"/>
            <w:gridSpan w:val="2"/>
            <w:vMerge w:val="restart"/>
            <w:vAlign w:val="center"/>
          </w:tcPr>
          <w:p>
            <w:pPr>
              <w:spacing w:line="400" w:lineRule="exact"/>
              <w:jc w:val="center"/>
              <w:rPr>
                <w:rFonts w:ascii="宋体" w:hAnsi="宋体"/>
                <w:szCs w:val="21"/>
              </w:rPr>
            </w:pPr>
            <w:r>
              <w:rPr>
                <w:rFonts w:hint="eastAsia" w:ascii="宋体" w:hAnsi="宋体"/>
                <w:szCs w:val="21"/>
              </w:rPr>
              <w:t>教材</w:t>
            </w:r>
          </w:p>
        </w:tc>
        <w:tc>
          <w:tcPr>
            <w:tcW w:w="852" w:type="dxa"/>
          </w:tcPr>
          <w:p>
            <w:pPr>
              <w:spacing w:line="400" w:lineRule="exact"/>
              <w:jc w:val="center"/>
              <w:rPr>
                <w:rFonts w:ascii="宋体" w:hAnsi="宋体"/>
                <w:szCs w:val="21"/>
              </w:rPr>
            </w:pPr>
            <w:r>
              <w:rPr>
                <w:rFonts w:hint="eastAsia" w:ascii="宋体" w:hAnsi="宋体"/>
                <w:szCs w:val="21"/>
              </w:rPr>
              <w:t>序号</w:t>
            </w:r>
          </w:p>
        </w:tc>
        <w:tc>
          <w:tcPr>
            <w:tcW w:w="2700" w:type="dxa"/>
            <w:gridSpan w:val="5"/>
          </w:tcPr>
          <w:p>
            <w:pPr>
              <w:spacing w:line="400" w:lineRule="exact"/>
              <w:jc w:val="center"/>
              <w:rPr>
                <w:rFonts w:ascii="宋体" w:hAnsi="宋体"/>
                <w:szCs w:val="21"/>
              </w:rPr>
            </w:pPr>
            <w:r>
              <w:rPr>
                <w:rFonts w:hint="eastAsia" w:ascii="宋体" w:hAnsi="宋体"/>
                <w:szCs w:val="21"/>
              </w:rPr>
              <w:t>教材名称</w:t>
            </w:r>
          </w:p>
        </w:tc>
        <w:tc>
          <w:tcPr>
            <w:tcW w:w="1363" w:type="dxa"/>
            <w:gridSpan w:val="4"/>
          </w:tcPr>
          <w:p>
            <w:pPr>
              <w:spacing w:line="400" w:lineRule="exact"/>
              <w:jc w:val="center"/>
              <w:rPr>
                <w:rFonts w:ascii="宋体" w:hAnsi="宋体"/>
                <w:szCs w:val="21"/>
              </w:rPr>
            </w:pPr>
            <w:r>
              <w:rPr>
                <w:rFonts w:hint="eastAsia" w:ascii="宋体" w:hAnsi="宋体"/>
                <w:szCs w:val="21"/>
              </w:rPr>
              <w:t>编著者</w:t>
            </w:r>
          </w:p>
        </w:tc>
        <w:tc>
          <w:tcPr>
            <w:tcW w:w="2203" w:type="dxa"/>
            <w:gridSpan w:val="6"/>
          </w:tcPr>
          <w:p>
            <w:pPr>
              <w:spacing w:line="400" w:lineRule="exact"/>
              <w:jc w:val="center"/>
              <w:rPr>
                <w:rFonts w:ascii="宋体" w:hAnsi="宋体"/>
                <w:szCs w:val="21"/>
              </w:rPr>
            </w:pPr>
            <w:r>
              <w:rPr>
                <w:rFonts w:hint="eastAsia" w:ascii="宋体" w:hAnsi="宋体"/>
                <w:szCs w:val="21"/>
              </w:rPr>
              <w:t>出版单位</w:t>
            </w:r>
          </w:p>
        </w:tc>
        <w:tc>
          <w:tcPr>
            <w:tcW w:w="1694" w:type="dxa"/>
            <w:gridSpan w:val="2"/>
          </w:tcPr>
          <w:p>
            <w:pPr>
              <w:spacing w:line="400" w:lineRule="exact"/>
              <w:jc w:val="center"/>
              <w:rPr>
                <w:rFonts w:ascii="宋体" w:hAnsi="宋体"/>
                <w:szCs w:val="21"/>
              </w:rPr>
            </w:pPr>
            <w:r>
              <w:rPr>
                <w:rFonts w:hint="eastAsia" w:ascii="宋体" w:hAnsi="宋体"/>
                <w:szCs w:val="21"/>
              </w:rPr>
              <w:t>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8" w:type="dxa"/>
          <w:cantSplit/>
          <w:jc w:val="center"/>
        </w:trPr>
        <w:tc>
          <w:tcPr>
            <w:tcW w:w="748" w:type="dxa"/>
            <w:gridSpan w:val="2"/>
            <w:vMerge w:val="continue"/>
            <w:vAlign w:val="center"/>
          </w:tcPr>
          <w:p>
            <w:pPr>
              <w:spacing w:line="400" w:lineRule="exact"/>
              <w:jc w:val="center"/>
              <w:rPr>
                <w:rFonts w:ascii="宋体" w:hAnsi="宋体"/>
                <w:szCs w:val="21"/>
              </w:rPr>
            </w:pPr>
          </w:p>
        </w:tc>
        <w:tc>
          <w:tcPr>
            <w:tcW w:w="852" w:type="dxa"/>
          </w:tcPr>
          <w:p>
            <w:pPr>
              <w:spacing w:line="400" w:lineRule="exact"/>
              <w:jc w:val="center"/>
              <w:rPr>
                <w:rFonts w:ascii="宋体" w:hAnsi="宋体"/>
                <w:szCs w:val="21"/>
              </w:rPr>
            </w:pPr>
            <w:r>
              <w:rPr>
                <w:rFonts w:hint="eastAsia" w:ascii="宋体" w:hAnsi="宋体"/>
                <w:szCs w:val="21"/>
              </w:rPr>
              <w:t>1</w:t>
            </w:r>
          </w:p>
        </w:tc>
        <w:tc>
          <w:tcPr>
            <w:tcW w:w="2700" w:type="dxa"/>
            <w:gridSpan w:val="5"/>
            <w:vAlign w:val="center"/>
          </w:tcPr>
          <w:p>
            <w:pPr>
              <w:rPr>
                <w:rFonts w:ascii="宋体" w:hAnsi="宋体"/>
                <w:szCs w:val="21"/>
              </w:rPr>
            </w:pPr>
            <w:r>
              <w:rPr>
                <w:rFonts w:hint="eastAsia" w:ascii="宋体" w:hAnsi="宋体"/>
                <w:szCs w:val="21"/>
              </w:rPr>
              <w:t>《跨境电子商务物流》</w:t>
            </w:r>
          </w:p>
        </w:tc>
        <w:tc>
          <w:tcPr>
            <w:tcW w:w="1363" w:type="dxa"/>
            <w:gridSpan w:val="4"/>
          </w:tcPr>
          <w:p>
            <w:pPr>
              <w:spacing w:line="400" w:lineRule="exact"/>
              <w:jc w:val="center"/>
              <w:rPr>
                <w:rFonts w:ascii="宋体" w:hAnsi="宋体"/>
                <w:szCs w:val="21"/>
              </w:rPr>
            </w:pPr>
            <w:r>
              <w:rPr>
                <w:rFonts w:hint="eastAsia" w:ascii="宋体" w:hAnsi="宋体"/>
                <w:szCs w:val="21"/>
              </w:rPr>
              <w:t>速卖通大学</w:t>
            </w:r>
          </w:p>
        </w:tc>
        <w:tc>
          <w:tcPr>
            <w:tcW w:w="2203" w:type="dxa"/>
            <w:gridSpan w:val="6"/>
          </w:tcPr>
          <w:p>
            <w:pPr>
              <w:spacing w:line="400" w:lineRule="exact"/>
              <w:jc w:val="center"/>
              <w:rPr>
                <w:rFonts w:ascii="宋体" w:hAnsi="宋体"/>
                <w:szCs w:val="21"/>
              </w:rPr>
            </w:pPr>
            <w:r>
              <w:rPr>
                <w:rFonts w:hint="eastAsia" w:ascii="宋体" w:hAnsi="宋体"/>
                <w:szCs w:val="21"/>
              </w:rPr>
              <w:t>电子工业出版社</w:t>
            </w:r>
          </w:p>
        </w:tc>
        <w:tc>
          <w:tcPr>
            <w:tcW w:w="1694" w:type="dxa"/>
            <w:gridSpan w:val="2"/>
          </w:tcPr>
          <w:p>
            <w:pPr>
              <w:spacing w:line="400" w:lineRule="exact"/>
              <w:jc w:val="center"/>
              <w:rPr>
                <w:rFonts w:ascii="宋体" w:hAnsi="宋体"/>
                <w:szCs w:val="21"/>
              </w:rPr>
            </w:pPr>
            <w:r>
              <w:rPr>
                <w:rFonts w:hint="eastAsia" w:ascii="宋体" w:hAnsi="宋体"/>
                <w:szCs w:val="21"/>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8" w:type="dxa"/>
          <w:cantSplit/>
          <w:jc w:val="center"/>
        </w:trPr>
        <w:tc>
          <w:tcPr>
            <w:tcW w:w="748" w:type="dxa"/>
            <w:gridSpan w:val="2"/>
            <w:vMerge w:val="continue"/>
            <w:vAlign w:val="center"/>
          </w:tcPr>
          <w:p>
            <w:pPr>
              <w:spacing w:line="400" w:lineRule="exact"/>
              <w:jc w:val="center"/>
              <w:rPr>
                <w:rFonts w:ascii="宋体" w:hAnsi="宋体"/>
                <w:szCs w:val="21"/>
              </w:rPr>
            </w:pPr>
          </w:p>
        </w:tc>
        <w:tc>
          <w:tcPr>
            <w:tcW w:w="852" w:type="dxa"/>
          </w:tcPr>
          <w:p>
            <w:pPr>
              <w:spacing w:line="400" w:lineRule="exact"/>
              <w:jc w:val="center"/>
              <w:rPr>
                <w:rFonts w:ascii="宋体" w:hAnsi="宋体"/>
                <w:szCs w:val="21"/>
              </w:rPr>
            </w:pPr>
            <w:r>
              <w:rPr>
                <w:rFonts w:hint="eastAsia" w:ascii="宋体" w:hAnsi="宋体"/>
                <w:szCs w:val="21"/>
              </w:rPr>
              <w:t>2</w:t>
            </w:r>
          </w:p>
        </w:tc>
        <w:tc>
          <w:tcPr>
            <w:tcW w:w="2700" w:type="dxa"/>
            <w:gridSpan w:val="5"/>
          </w:tcPr>
          <w:p>
            <w:pPr>
              <w:spacing w:line="400" w:lineRule="exact"/>
              <w:jc w:val="center"/>
              <w:rPr>
                <w:rFonts w:ascii="宋体" w:hAnsi="宋体"/>
                <w:szCs w:val="21"/>
              </w:rPr>
            </w:pPr>
            <w:r>
              <w:rPr>
                <w:rFonts w:hint="eastAsia" w:ascii="宋体" w:hAnsi="宋体"/>
                <w:szCs w:val="21"/>
              </w:rPr>
              <w:t>《电子商务与快递服务》</w:t>
            </w:r>
          </w:p>
        </w:tc>
        <w:tc>
          <w:tcPr>
            <w:tcW w:w="1363" w:type="dxa"/>
            <w:gridSpan w:val="4"/>
          </w:tcPr>
          <w:p>
            <w:pPr>
              <w:spacing w:line="400" w:lineRule="exact"/>
              <w:jc w:val="center"/>
              <w:rPr>
                <w:rFonts w:ascii="宋体" w:hAnsi="宋体"/>
                <w:szCs w:val="21"/>
              </w:rPr>
            </w:pPr>
            <w:r>
              <w:rPr>
                <w:rFonts w:hint="eastAsia" w:ascii="宋体" w:hAnsi="宋体"/>
                <w:szCs w:val="21"/>
              </w:rPr>
              <w:t>国家邮政局快递职业教材编写委员会</w:t>
            </w:r>
          </w:p>
        </w:tc>
        <w:tc>
          <w:tcPr>
            <w:tcW w:w="2203" w:type="dxa"/>
            <w:gridSpan w:val="6"/>
          </w:tcPr>
          <w:p>
            <w:pPr>
              <w:spacing w:line="400" w:lineRule="exact"/>
              <w:jc w:val="center"/>
              <w:rPr>
                <w:rFonts w:ascii="宋体" w:hAnsi="宋体"/>
                <w:szCs w:val="21"/>
              </w:rPr>
            </w:pPr>
            <w:r>
              <w:rPr>
                <w:rFonts w:hint="eastAsia" w:ascii="宋体" w:hAnsi="宋体"/>
                <w:szCs w:val="21"/>
              </w:rPr>
              <w:t>北京邮电大学出版社</w:t>
            </w:r>
          </w:p>
        </w:tc>
        <w:tc>
          <w:tcPr>
            <w:tcW w:w="1694" w:type="dxa"/>
            <w:gridSpan w:val="2"/>
          </w:tcPr>
          <w:p>
            <w:pPr>
              <w:spacing w:line="400" w:lineRule="exact"/>
              <w:jc w:val="center"/>
              <w:rPr>
                <w:rFonts w:ascii="宋体" w:hAnsi="宋体"/>
                <w:szCs w:val="21"/>
              </w:rPr>
            </w:pPr>
            <w:r>
              <w:rPr>
                <w:rFonts w:hint="eastAsia" w:ascii="宋体" w:hAnsi="宋体"/>
                <w:szCs w:val="21"/>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8" w:type="dxa"/>
          <w:cantSplit/>
          <w:jc w:val="center"/>
        </w:trPr>
        <w:tc>
          <w:tcPr>
            <w:tcW w:w="748" w:type="dxa"/>
            <w:gridSpan w:val="2"/>
            <w:vMerge w:val="restart"/>
            <w:vAlign w:val="center"/>
          </w:tcPr>
          <w:p>
            <w:pPr>
              <w:spacing w:line="400" w:lineRule="exact"/>
              <w:jc w:val="center"/>
              <w:rPr>
                <w:rFonts w:ascii="宋体" w:hAnsi="宋体"/>
                <w:szCs w:val="21"/>
              </w:rPr>
            </w:pPr>
            <w:r>
              <w:rPr>
                <w:rFonts w:hint="eastAsia" w:ascii="宋体" w:hAnsi="宋体"/>
                <w:szCs w:val="21"/>
              </w:rPr>
              <w:t>参考资料</w:t>
            </w:r>
          </w:p>
        </w:tc>
        <w:tc>
          <w:tcPr>
            <w:tcW w:w="852" w:type="dxa"/>
          </w:tcPr>
          <w:p>
            <w:pPr>
              <w:spacing w:line="400" w:lineRule="exact"/>
              <w:jc w:val="center"/>
              <w:rPr>
                <w:rFonts w:ascii="宋体" w:hAnsi="宋体"/>
                <w:szCs w:val="21"/>
              </w:rPr>
            </w:pPr>
            <w:r>
              <w:rPr>
                <w:rFonts w:hint="eastAsia" w:ascii="宋体" w:hAnsi="宋体"/>
                <w:szCs w:val="21"/>
              </w:rPr>
              <w:t>序号</w:t>
            </w:r>
          </w:p>
        </w:tc>
        <w:tc>
          <w:tcPr>
            <w:tcW w:w="2700" w:type="dxa"/>
            <w:gridSpan w:val="5"/>
          </w:tcPr>
          <w:p>
            <w:pPr>
              <w:spacing w:line="400" w:lineRule="exact"/>
              <w:jc w:val="center"/>
              <w:rPr>
                <w:rFonts w:ascii="宋体" w:hAnsi="宋体"/>
                <w:szCs w:val="21"/>
              </w:rPr>
            </w:pPr>
            <w:r>
              <w:rPr>
                <w:rFonts w:hint="eastAsia" w:ascii="宋体" w:hAnsi="宋体"/>
                <w:szCs w:val="21"/>
              </w:rPr>
              <w:t>参考资料名称</w:t>
            </w:r>
          </w:p>
        </w:tc>
        <w:tc>
          <w:tcPr>
            <w:tcW w:w="1363" w:type="dxa"/>
            <w:gridSpan w:val="4"/>
          </w:tcPr>
          <w:p>
            <w:pPr>
              <w:spacing w:line="400" w:lineRule="exact"/>
              <w:jc w:val="center"/>
              <w:rPr>
                <w:rFonts w:ascii="宋体" w:hAnsi="宋体"/>
                <w:szCs w:val="21"/>
              </w:rPr>
            </w:pPr>
            <w:r>
              <w:rPr>
                <w:rFonts w:hint="eastAsia" w:ascii="宋体" w:hAnsi="宋体"/>
                <w:szCs w:val="21"/>
              </w:rPr>
              <w:t>编著者</w:t>
            </w:r>
          </w:p>
        </w:tc>
        <w:tc>
          <w:tcPr>
            <w:tcW w:w="2203" w:type="dxa"/>
            <w:gridSpan w:val="6"/>
          </w:tcPr>
          <w:p>
            <w:pPr>
              <w:spacing w:line="400" w:lineRule="exact"/>
              <w:jc w:val="center"/>
              <w:rPr>
                <w:rFonts w:ascii="宋体" w:hAnsi="宋体"/>
                <w:szCs w:val="21"/>
              </w:rPr>
            </w:pPr>
            <w:r>
              <w:rPr>
                <w:rFonts w:hint="eastAsia" w:ascii="宋体" w:hAnsi="宋体"/>
                <w:szCs w:val="21"/>
              </w:rPr>
              <w:t>出版单位</w:t>
            </w:r>
          </w:p>
        </w:tc>
        <w:tc>
          <w:tcPr>
            <w:tcW w:w="1694" w:type="dxa"/>
            <w:gridSpan w:val="2"/>
          </w:tcPr>
          <w:p>
            <w:pPr>
              <w:spacing w:line="400" w:lineRule="exact"/>
              <w:jc w:val="center"/>
              <w:rPr>
                <w:rFonts w:ascii="宋体" w:hAnsi="宋体"/>
                <w:szCs w:val="21"/>
              </w:rPr>
            </w:pPr>
            <w:r>
              <w:rPr>
                <w:rFonts w:hint="eastAsia" w:ascii="宋体" w:hAnsi="宋体"/>
                <w:szCs w:val="21"/>
              </w:rPr>
              <w:t>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8" w:type="dxa"/>
          <w:cantSplit/>
          <w:jc w:val="center"/>
        </w:trPr>
        <w:tc>
          <w:tcPr>
            <w:tcW w:w="748" w:type="dxa"/>
            <w:gridSpan w:val="2"/>
            <w:vMerge w:val="continue"/>
          </w:tcPr>
          <w:p>
            <w:pPr>
              <w:spacing w:line="400" w:lineRule="exact"/>
              <w:rPr>
                <w:rFonts w:ascii="宋体" w:hAnsi="宋体"/>
                <w:szCs w:val="21"/>
              </w:rPr>
            </w:pPr>
          </w:p>
        </w:tc>
        <w:tc>
          <w:tcPr>
            <w:tcW w:w="852" w:type="dxa"/>
            <w:vAlign w:val="center"/>
          </w:tcPr>
          <w:p>
            <w:pPr>
              <w:spacing w:line="400" w:lineRule="exact"/>
              <w:jc w:val="center"/>
              <w:rPr>
                <w:rFonts w:ascii="宋体" w:hAnsi="宋体"/>
                <w:szCs w:val="21"/>
              </w:rPr>
            </w:pPr>
            <w:r>
              <w:rPr>
                <w:rFonts w:hint="eastAsia" w:ascii="宋体" w:hAnsi="宋体"/>
                <w:szCs w:val="21"/>
              </w:rPr>
              <w:t>1</w:t>
            </w:r>
          </w:p>
        </w:tc>
        <w:tc>
          <w:tcPr>
            <w:tcW w:w="2700" w:type="dxa"/>
            <w:gridSpan w:val="5"/>
          </w:tcPr>
          <w:p>
            <w:pPr>
              <w:spacing w:line="400" w:lineRule="exact"/>
              <w:jc w:val="center"/>
              <w:rPr>
                <w:rFonts w:ascii="宋体" w:hAnsi="宋体"/>
                <w:szCs w:val="21"/>
              </w:rPr>
            </w:pPr>
            <w:r>
              <w:rPr>
                <w:rFonts w:hint="eastAsia" w:ascii="宋体" w:hAnsi="宋体"/>
                <w:szCs w:val="21"/>
              </w:rPr>
              <w:t>《跨境电子商务》</w:t>
            </w:r>
          </w:p>
        </w:tc>
        <w:tc>
          <w:tcPr>
            <w:tcW w:w="1363" w:type="dxa"/>
            <w:gridSpan w:val="4"/>
          </w:tcPr>
          <w:p>
            <w:pPr>
              <w:spacing w:line="400" w:lineRule="exact"/>
              <w:jc w:val="center"/>
              <w:rPr>
                <w:rFonts w:ascii="宋体" w:hAnsi="宋体"/>
                <w:szCs w:val="21"/>
              </w:rPr>
            </w:pPr>
            <w:r>
              <w:rPr>
                <w:rFonts w:hint="eastAsia" w:ascii="宋体" w:hAnsi="宋体"/>
                <w:szCs w:val="21"/>
              </w:rPr>
              <w:t>鲁丹萍</w:t>
            </w:r>
          </w:p>
        </w:tc>
        <w:tc>
          <w:tcPr>
            <w:tcW w:w="2203" w:type="dxa"/>
            <w:gridSpan w:val="6"/>
          </w:tcPr>
          <w:p>
            <w:pPr>
              <w:spacing w:line="400" w:lineRule="exact"/>
              <w:jc w:val="center"/>
              <w:rPr>
                <w:rFonts w:ascii="宋体" w:hAnsi="宋体"/>
                <w:szCs w:val="21"/>
              </w:rPr>
            </w:pPr>
            <w:r>
              <w:rPr>
                <w:rFonts w:hint="eastAsia" w:ascii="宋体" w:hAnsi="宋体"/>
                <w:szCs w:val="21"/>
              </w:rPr>
              <w:t>中国商务出版社</w:t>
            </w:r>
          </w:p>
        </w:tc>
        <w:tc>
          <w:tcPr>
            <w:tcW w:w="1694" w:type="dxa"/>
            <w:gridSpan w:val="2"/>
          </w:tcPr>
          <w:p>
            <w:pPr>
              <w:spacing w:line="400" w:lineRule="exact"/>
              <w:jc w:val="center"/>
              <w:rPr>
                <w:rFonts w:ascii="宋体" w:hAnsi="宋体"/>
                <w:szCs w:val="21"/>
              </w:rPr>
            </w:pPr>
            <w:r>
              <w:rPr>
                <w:rFonts w:hint="eastAsia" w:ascii="宋体" w:hAnsi="宋体"/>
                <w:szCs w:val="21"/>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8" w:type="dxa"/>
          <w:cantSplit/>
          <w:jc w:val="center"/>
        </w:trPr>
        <w:tc>
          <w:tcPr>
            <w:tcW w:w="748" w:type="dxa"/>
            <w:gridSpan w:val="2"/>
            <w:vMerge w:val="continue"/>
          </w:tcPr>
          <w:p>
            <w:pPr>
              <w:spacing w:line="400" w:lineRule="exact"/>
              <w:rPr>
                <w:rFonts w:ascii="宋体" w:hAnsi="宋体"/>
                <w:szCs w:val="21"/>
              </w:rPr>
            </w:pPr>
          </w:p>
        </w:tc>
        <w:tc>
          <w:tcPr>
            <w:tcW w:w="852" w:type="dxa"/>
            <w:vAlign w:val="center"/>
          </w:tcPr>
          <w:p>
            <w:pPr>
              <w:spacing w:line="400" w:lineRule="exact"/>
              <w:jc w:val="center"/>
              <w:rPr>
                <w:rFonts w:ascii="宋体" w:hAnsi="宋体"/>
                <w:szCs w:val="21"/>
              </w:rPr>
            </w:pPr>
            <w:r>
              <w:rPr>
                <w:rFonts w:hint="eastAsia" w:ascii="宋体" w:hAnsi="宋体"/>
                <w:szCs w:val="21"/>
              </w:rPr>
              <w:t>2</w:t>
            </w:r>
          </w:p>
        </w:tc>
        <w:tc>
          <w:tcPr>
            <w:tcW w:w="2700" w:type="dxa"/>
            <w:gridSpan w:val="5"/>
          </w:tcPr>
          <w:p>
            <w:pPr>
              <w:spacing w:line="400" w:lineRule="exact"/>
              <w:jc w:val="center"/>
              <w:rPr>
                <w:rFonts w:ascii="宋体" w:hAnsi="宋体"/>
                <w:szCs w:val="21"/>
              </w:rPr>
            </w:pPr>
            <w:r>
              <w:rPr>
                <w:rFonts w:hint="eastAsia" w:ascii="宋体" w:hAnsi="宋体"/>
                <w:szCs w:val="21"/>
              </w:rPr>
              <w:t>《一本书搞懂跨境电子商务》</w:t>
            </w:r>
          </w:p>
        </w:tc>
        <w:tc>
          <w:tcPr>
            <w:tcW w:w="1363" w:type="dxa"/>
            <w:gridSpan w:val="4"/>
          </w:tcPr>
          <w:p>
            <w:pPr>
              <w:spacing w:line="400" w:lineRule="exact"/>
              <w:jc w:val="center"/>
              <w:rPr>
                <w:rFonts w:ascii="宋体" w:hAnsi="宋体"/>
                <w:szCs w:val="21"/>
              </w:rPr>
            </w:pPr>
            <w:r>
              <w:rPr>
                <w:rFonts w:hint="eastAsia" w:ascii="宋体" w:hAnsi="宋体"/>
                <w:szCs w:val="21"/>
              </w:rPr>
              <w:t>武亮，王跃进</w:t>
            </w:r>
          </w:p>
        </w:tc>
        <w:tc>
          <w:tcPr>
            <w:tcW w:w="2203" w:type="dxa"/>
            <w:gridSpan w:val="6"/>
          </w:tcPr>
          <w:p>
            <w:pPr>
              <w:spacing w:line="400" w:lineRule="exact"/>
              <w:jc w:val="center"/>
              <w:rPr>
                <w:rFonts w:ascii="宋体" w:hAnsi="宋体"/>
                <w:szCs w:val="21"/>
              </w:rPr>
            </w:pPr>
            <w:r>
              <w:rPr>
                <w:rFonts w:hint="eastAsia" w:ascii="宋体" w:hAnsi="宋体"/>
                <w:szCs w:val="21"/>
              </w:rPr>
              <w:t>化学工业出版社</w:t>
            </w:r>
          </w:p>
        </w:tc>
        <w:tc>
          <w:tcPr>
            <w:tcW w:w="1694" w:type="dxa"/>
            <w:gridSpan w:val="2"/>
          </w:tcPr>
          <w:p>
            <w:pPr>
              <w:spacing w:line="400" w:lineRule="exact"/>
              <w:jc w:val="center"/>
              <w:rPr>
                <w:rFonts w:ascii="宋体" w:hAnsi="宋体"/>
                <w:szCs w:val="21"/>
              </w:rPr>
            </w:pPr>
            <w:r>
              <w:rPr>
                <w:rFonts w:hint="eastAsia" w:ascii="宋体" w:hAnsi="宋体"/>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8" w:type="dxa"/>
          <w:cantSplit/>
          <w:jc w:val="center"/>
        </w:trPr>
        <w:tc>
          <w:tcPr>
            <w:tcW w:w="748" w:type="dxa"/>
            <w:gridSpan w:val="2"/>
            <w:vMerge w:val="continue"/>
          </w:tcPr>
          <w:p>
            <w:pPr>
              <w:spacing w:line="400" w:lineRule="exact"/>
              <w:rPr>
                <w:rFonts w:ascii="宋体" w:hAnsi="宋体"/>
                <w:szCs w:val="21"/>
              </w:rPr>
            </w:pPr>
          </w:p>
        </w:tc>
        <w:tc>
          <w:tcPr>
            <w:tcW w:w="852" w:type="dxa"/>
            <w:vAlign w:val="center"/>
          </w:tcPr>
          <w:p>
            <w:pPr>
              <w:spacing w:line="400" w:lineRule="exact"/>
              <w:jc w:val="center"/>
              <w:rPr>
                <w:rFonts w:ascii="宋体" w:hAnsi="宋体"/>
                <w:szCs w:val="21"/>
              </w:rPr>
            </w:pPr>
            <w:r>
              <w:rPr>
                <w:rFonts w:hint="eastAsia" w:ascii="宋体" w:hAnsi="宋体"/>
                <w:szCs w:val="21"/>
              </w:rPr>
              <w:t>3</w:t>
            </w:r>
          </w:p>
        </w:tc>
        <w:tc>
          <w:tcPr>
            <w:tcW w:w="2700" w:type="dxa"/>
            <w:gridSpan w:val="5"/>
          </w:tcPr>
          <w:p>
            <w:pPr>
              <w:spacing w:line="400" w:lineRule="exact"/>
              <w:jc w:val="center"/>
              <w:rPr>
                <w:rFonts w:ascii="宋体" w:hAnsi="宋体"/>
                <w:szCs w:val="21"/>
              </w:rPr>
            </w:pPr>
            <w:r>
              <w:rPr>
                <w:rFonts w:hint="eastAsia" w:ascii="宋体" w:hAnsi="宋体"/>
                <w:szCs w:val="21"/>
              </w:rPr>
              <w:t>《航空快递进出口业务》</w:t>
            </w:r>
          </w:p>
        </w:tc>
        <w:tc>
          <w:tcPr>
            <w:tcW w:w="1363" w:type="dxa"/>
            <w:gridSpan w:val="4"/>
          </w:tcPr>
          <w:p>
            <w:pPr>
              <w:spacing w:line="400" w:lineRule="exact"/>
              <w:jc w:val="center"/>
              <w:rPr>
                <w:rFonts w:ascii="宋体" w:hAnsi="宋体"/>
                <w:szCs w:val="21"/>
              </w:rPr>
            </w:pPr>
            <w:r>
              <w:rPr>
                <w:rFonts w:hint="eastAsia" w:ascii="宋体" w:hAnsi="宋体"/>
                <w:szCs w:val="21"/>
              </w:rPr>
              <w:t>肖旭</w:t>
            </w:r>
          </w:p>
        </w:tc>
        <w:tc>
          <w:tcPr>
            <w:tcW w:w="2203" w:type="dxa"/>
            <w:gridSpan w:val="6"/>
          </w:tcPr>
          <w:p>
            <w:pPr>
              <w:spacing w:line="400" w:lineRule="exact"/>
              <w:jc w:val="center"/>
              <w:rPr>
                <w:rFonts w:ascii="宋体" w:hAnsi="宋体"/>
                <w:szCs w:val="21"/>
              </w:rPr>
            </w:pPr>
            <w:r>
              <w:rPr>
                <w:rFonts w:hint="eastAsia" w:ascii="宋体" w:hAnsi="宋体"/>
                <w:szCs w:val="21"/>
              </w:rPr>
              <w:t>中国民航出版社</w:t>
            </w:r>
          </w:p>
        </w:tc>
        <w:tc>
          <w:tcPr>
            <w:tcW w:w="1694" w:type="dxa"/>
            <w:gridSpan w:val="2"/>
          </w:tcPr>
          <w:p>
            <w:pPr>
              <w:spacing w:line="400" w:lineRule="exact"/>
              <w:jc w:val="center"/>
              <w:rPr>
                <w:rFonts w:ascii="宋体" w:hAnsi="宋体"/>
                <w:szCs w:val="21"/>
              </w:rPr>
            </w:pPr>
            <w:r>
              <w:rPr>
                <w:rFonts w:hint="eastAsia" w:ascii="宋体" w:hAnsi="宋体"/>
                <w:szCs w:val="21"/>
              </w:rPr>
              <w:t>2011</w:t>
            </w:r>
          </w:p>
        </w:tc>
      </w:tr>
    </w:tbl>
    <w:p>
      <w:pPr>
        <w:spacing w:line="400" w:lineRule="exact"/>
        <w:rPr>
          <w:b/>
          <w:sz w:val="18"/>
          <w:szCs w:val="18"/>
        </w:rPr>
      </w:pPr>
      <w:r>
        <w:rPr>
          <w:rFonts w:hint="eastAsia"/>
          <w:b/>
          <w:sz w:val="18"/>
          <w:szCs w:val="18"/>
        </w:rPr>
        <w:t>注</w:t>
      </w:r>
      <w:r>
        <w:rPr>
          <w:b/>
          <w:sz w:val="18"/>
          <w:szCs w:val="18"/>
        </w:rPr>
        <w:t>：</w:t>
      </w:r>
      <w:r>
        <w:rPr>
          <w:rFonts w:hint="eastAsia"/>
          <w:b/>
          <w:sz w:val="18"/>
          <w:szCs w:val="18"/>
        </w:rPr>
        <w:t>1.</w:t>
      </w:r>
      <w:r>
        <w:rPr>
          <w:rFonts w:hint="eastAsia"/>
        </w:rPr>
        <w:t xml:space="preserve"> </w:t>
      </w:r>
      <w:r>
        <w:rPr>
          <w:rFonts w:hint="eastAsia"/>
          <w:b/>
          <w:sz w:val="18"/>
          <w:szCs w:val="18"/>
        </w:rPr>
        <w:t>课程类别参考</w:t>
      </w:r>
      <w:r>
        <w:rPr>
          <w:b/>
          <w:sz w:val="18"/>
          <w:szCs w:val="18"/>
        </w:rPr>
        <w:t>培养方案，学位课明细到公共必修课、学科基础</w:t>
      </w:r>
      <w:r>
        <w:rPr>
          <w:rFonts w:hint="eastAsia"/>
          <w:b/>
          <w:sz w:val="18"/>
          <w:szCs w:val="18"/>
        </w:rPr>
        <w:t>课</w:t>
      </w:r>
      <w:r>
        <w:rPr>
          <w:b/>
          <w:sz w:val="18"/>
          <w:szCs w:val="18"/>
        </w:rPr>
        <w:t>和学科必修课；</w:t>
      </w:r>
    </w:p>
    <w:p>
      <w:pPr>
        <w:spacing w:line="400" w:lineRule="exact"/>
        <w:rPr>
          <w:b/>
          <w:sz w:val="18"/>
          <w:szCs w:val="18"/>
        </w:rPr>
      </w:pPr>
      <w:r>
        <w:rPr>
          <w:rFonts w:hint="eastAsia"/>
          <w:b/>
          <w:sz w:val="18"/>
          <w:szCs w:val="18"/>
        </w:rPr>
        <w:t xml:space="preserve">    2.</w:t>
      </w:r>
      <w:r>
        <w:rPr>
          <w:b/>
          <w:sz w:val="18"/>
          <w:szCs w:val="18"/>
        </w:rPr>
        <w:t xml:space="preserve"> </w:t>
      </w:r>
      <w:r>
        <w:rPr>
          <w:rFonts w:hint="eastAsia"/>
          <w:b/>
          <w:sz w:val="18"/>
          <w:szCs w:val="18"/>
        </w:rPr>
        <w:t>主讲教师1和授课教师2两栏</w:t>
      </w:r>
      <w:r>
        <w:rPr>
          <w:b/>
          <w:sz w:val="18"/>
          <w:szCs w:val="18"/>
        </w:rPr>
        <w:t>必填。</w:t>
      </w:r>
    </w:p>
    <w:sectPr>
      <w:headerReference r:id="rId3" w:type="default"/>
      <w:footerReference r:id="rId4" w:type="default"/>
      <w:footerReference r:id="rId5" w:type="even"/>
      <w:pgSz w:w="11906" w:h="16838"/>
      <w:pgMar w:top="1247" w:right="1247" w:bottom="1247" w:left="1247" w:header="851" w:footer="992" w:gutter="284"/>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p>
  <w:p>
    <w:pPr>
      <w:pStyle w:val="5"/>
      <w:rPr>
        <w:rStyle w:val="10"/>
      </w:rP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9</w:t>
    </w:r>
    <w:r>
      <w:rPr>
        <w:rStyle w:val="10"/>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72BC6"/>
    <w:multiLevelType w:val="multilevel"/>
    <w:tmpl w:val="0E772BC6"/>
    <w:lvl w:ilvl="0" w:tentative="0">
      <w:start w:val="1"/>
      <w:numFmt w:val="japaneseCounting"/>
      <w:lvlText w:val="第%1章"/>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6D805C6"/>
    <w:multiLevelType w:val="multilevel"/>
    <w:tmpl w:val="16D805C6"/>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9AC14A6"/>
    <w:multiLevelType w:val="multilevel"/>
    <w:tmpl w:val="19AC14A6"/>
    <w:lvl w:ilvl="0" w:tentative="0">
      <w:start w:val="1"/>
      <w:numFmt w:val="japaneseCounting"/>
      <w:lvlText w:val="第%1节"/>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11268A6"/>
    <w:multiLevelType w:val="multilevel"/>
    <w:tmpl w:val="211268A6"/>
    <w:lvl w:ilvl="0" w:tentative="0">
      <w:start w:val="1"/>
      <w:numFmt w:val="japaneseCounting"/>
      <w:lvlText w:val="%1、"/>
      <w:lvlJc w:val="left"/>
      <w:pPr>
        <w:ind w:left="420" w:hanging="4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B4F13E4"/>
    <w:multiLevelType w:val="multilevel"/>
    <w:tmpl w:val="3B4F13E4"/>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80034A7"/>
    <w:multiLevelType w:val="multilevel"/>
    <w:tmpl w:val="580034A7"/>
    <w:lvl w:ilvl="0" w:tentative="0">
      <w:start w:val="2"/>
      <w:numFmt w:val="japaneseCounting"/>
      <w:lvlText w:val="第%1节"/>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C1138EF"/>
    <w:multiLevelType w:val="multilevel"/>
    <w:tmpl w:val="5C1138E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40C7396"/>
    <w:multiLevelType w:val="multilevel"/>
    <w:tmpl w:val="640C7396"/>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4"/>
  </w:num>
  <w:num w:numId="4">
    <w:abstractNumId w:val="6"/>
  </w:num>
  <w:num w:numId="5">
    <w:abstractNumId w:val="7"/>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773A2"/>
    <w:rsid w:val="00007AA6"/>
    <w:rsid w:val="00007D80"/>
    <w:rsid w:val="00010B83"/>
    <w:rsid w:val="0003113F"/>
    <w:rsid w:val="0004372C"/>
    <w:rsid w:val="00050701"/>
    <w:rsid w:val="00065BD1"/>
    <w:rsid w:val="000679B3"/>
    <w:rsid w:val="00070C8B"/>
    <w:rsid w:val="000816B9"/>
    <w:rsid w:val="000953B8"/>
    <w:rsid w:val="000A08A1"/>
    <w:rsid w:val="000B3F60"/>
    <w:rsid w:val="000C1463"/>
    <w:rsid w:val="000E00A3"/>
    <w:rsid w:val="000E3B2A"/>
    <w:rsid w:val="0012115E"/>
    <w:rsid w:val="001264E0"/>
    <w:rsid w:val="001363C5"/>
    <w:rsid w:val="00141B64"/>
    <w:rsid w:val="00177F07"/>
    <w:rsid w:val="00181750"/>
    <w:rsid w:val="0018299E"/>
    <w:rsid w:val="0019354F"/>
    <w:rsid w:val="001948BE"/>
    <w:rsid w:val="001A1CC5"/>
    <w:rsid w:val="001A6457"/>
    <w:rsid w:val="001D591A"/>
    <w:rsid w:val="001F7334"/>
    <w:rsid w:val="00202EF7"/>
    <w:rsid w:val="002046A4"/>
    <w:rsid w:val="00207663"/>
    <w:rsid w:val="00220A58"/>
    <w:rsid w:val="00233CB4"/>
    <w:rsid w:val="00287BF1"/>
    <w:rsid w:val="00293857"/>
    <w:rsid w:val="00297085"/>
    <w:rsid w:val="002A4DD0"/>
    <w:rsid w:val="002C7B12"/>
    <w:rsid w:val="002D20ED"/>
    <w:rsid w:val="00303AB0"/>
    <w:rsid w:val="00303D07"/>
    <w:rsid w:val="003105EE"/>
    <w:rsid w:val="00324B60"/>
    <w:rsid w:val="0034476E"/>
    <w:rsid w:val="00355E72"/>
    <w:rsid w:val="0036382F"/>
    <w:rsid w:val="0036426D"/>
    <w:rsid w:val="00375DA9"/>
    <w:rsid w:val="00387A73"/>
    <w:rsid w:val="00394582"/>
    <w:rsid w:val="00396CDA"/>
    <w:rsid w:val="003B6F6C"/>
    <w:rsid w:val="003C1A52"/>
    <w:rsid w:val="003E1580"/>
    <w:rsid w:val="004029BE"/>
    <w:rsid w:val="00402B64"/>
    <w:rsid w:val="00421C2E"/>
    <w:rsid w:val="00427951"/>
    <w:rsid w:val="004315A3"/>
    <w:rsid w:val="00434088"/>
    <w:rsid w:val="00453B51"/>
    <w:rsid w:val="00454D46"/>
    <w:rsid w:val="00465CA7"/>
    <w:rsid w:val="004773A2"/>
    <w:rsid w:val="00481A33"/>
    <w:rsid w:val="004A07D9"/>
    <w:rsid w:val="004C336E"/>
    <w:rsid w:val="004D51DA"/>
    <w:rsid w:val="004E11B3"/>
    <w:rsid w:val="005251DE"/>
    <w:rsid w:val="00555A0B"/>
    <w:rsid w:val="00557D19"/>
    <w:rsid w:val="00564554"/>
    <w:rsid w:val="00566FF7"/>
    <w:rsid w:val="00587622"/>
    <w:rsid w:val="005917D6"/>
    <w:rsid w:val="005B2131"/>
    <w:rsid w:val="005D11B0"/>
    <w:rsid w:val="005D5029"/>
    <w:rsid w:val="005E4293"/>
    <w:rsid w:val="00623448"/>
    <w:rsid w:val="006316D1"/>
    <w:rsid w:val="00631F63"/>
    <w:rsid w:val="00635E12"/>
    <w:rsid w:val="00652FF3"/>
    <w:rsid w:val="006718B9"/>
    <w:rsid w:val="00686999"/>
    <w:rsid w:val="006B7064"/>
    <w:rsid w:val="006C2FF5"/>
    <w:rsid w:val="006C3280"/>
    <w:rsid w:val="006C4CF4"/>
    <w:rsid w:val="006E7783"/>
    <w:rsid w:val="006E79F4"/>
    <w:rsid w:val="00711019"/>
    <w:rsid w:val="00726A91"/>
    <w:rsid w:val="00747858"/>
    <w:rsid w:val="007503EB"/>
    <w:rsid w:val="0076250A"/>
    <w:rsid w:val="007811EA"/>
    <w:rsid w:val="00782DC4"/>
    <w:rsid w:val="0079660F"/>
    <w:rsid w:val="007B3CFA"/>
    <w:rsid w:val="007D1025"/>
    <w:rsid w:val="00815FE1"/>
    <w:rsid w:val="0081750E"/>
    <w:rsid w:val="00821A0D"/>
    <w:rsid w:val="00830324"/>
    <w:rsid w:val="00834CAD"/>
    <w:rsid w:val="00841B4D"/>
    <w:rsid w:val="008444DD"/>
    <w:rsid w:val="00847AC6"/>
    <w:rsid w:val="00853766"/>
    <w:rsid w:val="00855D24"/>
    <w:rsid w:val="00856655"/>
    <w:rsid w:val="008807D2"/>
    <w:rsid w:val="00891248"/>
    <w:rsid w:val="008914BF"/>
    <w:rsid w:val="0089466D"/>
    <w:rsid w:val="00896755"/>
    <w:rsid w:val="00897F70"/>
    <w:rsid w:val="008A328E"/>
    <w:rsid w:val="008B24B8"/>
    <w:rsid w:val="008D498C"/>
    <w:rsid w:val="008D5C02"/>
    <w:rsid w:val="00901F7C"/>
    <w:rsid w:val="00907019"/>
    <w:rsid w:val="00914D42"/>
    <w:rsid w:val="009265A0"/>
    <w:rsid w:val="00930A3E"/>
    <w:rsid w:val="00936B21"/>
    <w:rsid w:val="00957F08"/>
    <w:rsid w:val="00967D0A"/>
    <w:rsid w:val="00977C2F"/>
    <w:rsid w:val="0098017A"/>
    <w:rsid w:val="009B04E7"/>
    <w:rsid w:val="009D4287"/>
    <w:rsid w:val="009D5374"/>
    <w:rsid w:val="009E2D82"/>
    <w:rsid w:val="009E5991"/>
    <w:rsid w:val="009F3F52"/>
    <w:rsid w:val="009F4885"/>
    <w:rsid w:val="009F4922"/>
    <w:rsid w:val="00A03E57"/>
    <w:rsid w:val="00A445D8"/>
    <w:rsid w:val="00A62D3E"/>
    <w:rsid w:val="00A63078"/>
    <w:rsid w:val="00A668DA"/>
    <w:rsid w:val="00A74349"/>
    <w:rsid w:val="00A774E7"/>
    <w:rsid w:val="00AA3A0B"/>
    <w:rsid w:val="00AA4643"/>
    <w:rsid w:val="00AB0ACB"/>
    <w:rsid w:val="00AC3487"/>
    <w:rsid w:val="00AC75F5"/>
    <w:rsid w:val="00AD0D2F"/>
    <w:rsid w:val="00AD1CF0"/>
    <w:rsid w:val="00AD524B"/>
    <w:rsid w:val="00AE3F96"/>
    <w:rsid w:val="00AE56BA"/>
    <w:rsid w:val="00AF79AE"/>
    <w:rsid w:val="00B079E5"/>
    <w:rsid w:val="00B166FE"/>
    <w:rsid w:val="00B17A1D"/>
    <w:rsid w:val="00B20C75"/>
    <w:rsid w:val="00B22380"/>
    <w:rsid w:val="00B3387B"/>
    <w:rsid w:val="00B35679"/>
    <w:rsid w:val="00B40260"/>
    <w:rsid w:val="00B57BE5"/>
    <w:rsid w:val="00B57F39"/>
    <w:rsid w:val="00B920C1"/>
    <w:rsid w:val="00BB644B"/>
    <w:rsid w:val="00BC7BAC"/>
    <w:rsid w:val="00BF1C54"/>
    <w:rsid w:val="00C121F0"/>
    <w:rsid w:val="00C41710"/>
    <w:rsid w:val="00C50BA4"/>
    <w:rsid w:val="00C81564"/>
    <w:rsid w:val="00C81D1C"/>
    <w:rsid w:val="00C94D8A"/>
    <w:rsid w:val="00CA5230"/>
    <w:rsid w:val="00CC482F"/>
    <w:rsid w:val="00CD1D3B"/>
    <w:rsid w:val="00CD6AA8"/>
    <w:rsid w:val="00CE317B"/>
    <w:rsid w:val="00CF1753"/>
    <w:rsid w:val="00D124BE"/>
    <w:rsid w:val="00D20823"/>
    <w:rsid w:val="00D216ED"/>
    <w:rsid w:val="00D2538F"/>
    <w:rsid w:val="00D546D8"/>
    <w:rsid w:val="00D558EA"/>
    <w:rsid w:val="00D622B2"/>
    <w:rsid w:val="00D67D91"/>
    <w:rsid w:val="00D827B9"/>
    <w:rsid w:val="00D911D9"/>
    <w:rsid w:val="00D93A66"/>
    <w:rsid w:val="00DB1011"/>
    <w:rsid w:val="00DD6A13"/>
    <w:rsid w:val="00DD6C61"/>
    <w:rsid w:val="00DF77BA"/>
    <w:rsid w:val="00E17FDE"/>
    <w:rsid w:val="00E33A5C"/>
    <w:rsid w:val="00E63DA6"/>
    <w:rsid w:val="00E67860"/>
    <w:rsid w:val="00E71270"/>
    <w:rsid w:val="00E7599A"/>
    <w:rsid w:val="00E86856"/>
    <w:rsid w:val="00E952BB"/>
    <w:rsid w:val="00EA4631"/>
    <w:rsid w:val="00EA6227"/>
    <w:rsid w:val="00EB6656"/>
    <w:rsid w:val="00EC15EB"/>
    <w:rsid w:val="00EF05E9"/>
    <w:rsid w:val="00EF6B15"/>
    <w:rsid w:val="00EF7D10"/>
    <w:rsid w:val="00F11EA0"/>
    <w:rsid w:val="00F1774C"/>
    <w:rsid w:val="00F409C3"/>
    <w:rsid w:val="00F6249B"/>
    <w:rsid w:val="00F739FD"/>
    <w:rsid w:val="00F769FB"/>
    <w:rsid w:val="00F95B95"/>
    <w:rsid w:val="00FA13CA"/>
    <w:rsid w:val="00FA72AE"/>
    <w:rsid w:val="00FF3879"/>
    <w:rsid w:val="0E480153"/>
    <w:rsid w:val="30807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9"/>
    <w:uiPriority w:val="0"/>
    <w:rPr>
      <w:b/>
      <w:bCs/>
    </w:rPr>
  </w:style>
  <w:style w:type="paragraph" w:styleId="3">
    <w:name w:val="annotation text"/>
    <w:basedOn w:val="1"/>
    <w:link w:val="18"/>
    <w:uiPriority w:val="0"/>
    <w:pPr>
      <w:jc w:val="left"/>
    </w:pPr>
  </w:style>
  <w:style w:type="paragraph" w:styleId="4">
    <w:name w:val="Balloon Text"/>
    <w:basedOn w:val="1"/>
    <w:semiHidden/>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character" w:styleId="9">
    <w:name w:val="Strong"/>
    <w:qFormat/>
    <w:uiPriority w:val="0"/>
    <w:rPr>
      <w:b/>
      <w:bCs/>
    </w:rPr>
  </w:style>
  <w:style w:type="character" w:styleId="10">
    <w:name w:val="page number"/>
    <w:basedOn w:val="8"/>
    <w:qFormat/>
    <w:uiPriority w:val="0"/>
  </w:style>
  <w:style w:type="character" w:styleId="11">
    <w:name w:val="annotation reference"/>
    <w:basedOn w:val="8"/>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批注框文本1"/>
    <w:basedOn w:val="1"/>
    <w:semiHidden/>
    <w:qFormat/>
    <w:uiPriority w:val="0"/>
    <w:rPr>
      <w:sz w:val="16"/>
      <w:szCs w:val="16"/>
    </w:rPr>
  </w:style>
  <w:style w:type="paragraph" w:customStyle="1" w:styleId="15">
    <w:name w:val="主正文二"/>
    <w:basedOn w:val="1"/>
    <w:qFormat/>
    <w:uiPriority w:val="0"/>
    <w:pPr>
      <w:ind w:firstLine="727" w:firstLineChars="346"/>
    </w:pPr>
    <w:rPr>
      <w:rFonts w:cs="宋体"/>
      <w:szCs w:val="20"/>
    </w:rPr>
  </w:style>
  <w:style w:type="paragraph" w:customStyle="1" w:styleId="16">
    <w:name w:val="主正文"/>
    <w:basedOn w:val="1"/>
    <w:qFormat/>
    <w:uiPriority w:val="0"/>
    <w:pPr>
      <w:ind w:firstLine="420" w:firstLineChars="200"/>
    </w:pPr>
    <w:rPr>
      <w:rFonts w:cs="宋体"/>
      <w:szCs w:val="20"/>
    </w:rPr>
  </w:style>
  <w:style w:type="paragraph" w:customStyle="1" w:styleId="17">
    <w:name w:val="列出段落1"/>
    <w:basedOn w:val="1"/>
    <w:qFormat/>
    <w:uiPriority w:val="34"/>
    <w:pPr>
      <w:ind w:firstLine="420" w:firstLineChars="200"/>
    </w:pPr>
  </w:style>
  <w:style w:type="character" w:customStyle="1" w:styleId="18">
    <w:name w:val="批注文字 Char"/>
    <w:basedOn w:val="8"/>
    <w:link w:val="3"/>
    <w:uiPriority w:val="0"/>
    <w:rPr>
      <w:kern w:val="2"/>
      <w:sz w:val="21"/>
      <w:szCs w:val="24"/>
    </w:rPr>
  </w:style>
  <w:style w:type="character" w:customStyle="1" w:styleId="19">
    <w:name w:val="批注主题 Char"/>
    <w:basedOn w:val="18"/>
    <w:link w:val="2"/>
    <w:uiPriority w:val="0"/>
    <w:rPr>
      <w:b/>
      <w:bCs/>
    </w:rPr>
  </w:style>
  <w:style w:type="paragraph" w:customStyle="1" w:styleId="20">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0E3BA4-B01B-4E7D-9A96-79CAE5D140A9}">
  <ds:schemaRefs/>
</ds:datastoreItem>
</file>

<file path=docProps/app.xml><?xml version="1.0" encoding="utf-8"?>
<Properties xmlns="http://schemas.openxmlformats.org/officeDocument/2006/extended-properties" xmlns:vt="http://schemas.openxmlformats.org/officeDocument/2006/docPropsVTypes">
  <Template>Normal.dotm</Template>
  <Company>研究生教育中心</Company>
  <Pages>5</Pages>
  <Words>430</Words>
  <Characters>2454</Characters>
  <Lines>20</Lines>
  <Paragraphs>5</Paragraphs>
  <TotalTime>0</TotalTime>
  <ScaleCrop>false</ScaleCrop>
  <LinksUpToDate>false</LinksUpToDate>
  <CharactersWithSpaces>2879</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2017-04-10T03:47:00Z</dcterms:created>
  <dc:creator>Administrator</dc:creator>
  <cp:lastModifiedBy>thtf</cp:lastModifiedBy>
  <cp:lastPrinted>2009-05-15T01:45:00Z</cp:lastPrinted>
  <dcterms:modified xsi:type="dcterms:W3CDTF">2017-04-23T07:20:18Z</dcterms:modified>
  <dc:title>学科门类：</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